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D3176" w14:textId="3F16DF7E" w:rsidR="002C697F" w:rsidRDefault="002C697F" w:rsidP="009D3F22">
      <w:pPr>
        <w:pStyle w:val="Heading1"/>
        <w:rPr>
          <w:sz w:val="36"/>
          <w:szCs w:val="36"/>
          <w:lang w:val="en-GB"/>
        </w:rPr>
      </w:pPr>
      <w:bookmarkStart w:id="0" w:name="_Toc536620127"/>
      <w:bookmarkStart w:id="1" w:name="_Toc481092013"/>
      <w:bookmarkStart w:id="2" w:name="_Toc355010616"/>
      <w:bookmarkStart w:id="3" w:name="_Toc355615166"/>
      <w:bookmarkStart w:id="4" w:name="_Toc355615346"/>
      <w:r>
        <w:rPr>
          <w:sz w:val="36"/>
          <w:szCs w:val="36"/>
          <w:lang w:val="en-GB"/>
        </w:rPr>
        <w:t>PAME I-2019: Agenda 10.2(b)</w:t>
      </w:r>
    </w:p>
    <w:p w14:paraId="2FA0C5AF" w14:textId="020F3EE9" w:rsidR="00CC298A" w:rsidRDefault="00CC298A" w:rsidP="009D3F22">
      <w:pPr>
        <w:pStyle w:val="Heading1"/>
        <w:rPr>
          <w:sz w:val="36"/>
          <w:szCs w:val="36"/>
          <w:lang w:val="en-GB"/>
        </w:rPr>
      </w:pPr>
      <w:r w:rsidRPr="00CC298A">
        <w:rPr>
          <w:sz w:val="36"/>
          <w:szCs w:val="36"/>
          <w:lang w:val="en-GB"/>
        </w:rPr>
        <w:t>PAME 2019-2021 Work Plan</w:t>
      </w:r>
      <w:r>
        <w:rPr>
          <w:sz w:val="36"/>
          <w:szCs w:val="36"/>
          <w:lang w:val="en-GB"/>
        </w:rPr>
        <w:t>-longer version (29 Jan)</w:t>
      </w:r>
    </w:p>
    <w:p w14:paraId="5875ABD1" w14:textId="354D5149" w:rsidR="00CC298A" w:rsidRDefault="00CC298A" w:rsidP="00CC298A">
      <w:pPr>
        <w:rPr>
          <w:lang w:val="en-GB"/>
        </w:rPr>
      </w:pPr>
    </w:p>
    <w:p w14:paraId="7234279F" w14:textId="74B012EB" w:rsidR="00CC298A" w:rsidRPr="002C697F" w:rsidRDefault="00CC298A" w:rsidP="00CC298A">
      <w:pPr>
        <w:rPr>
          <w:b/>
          <w:sz w:val="28"/>
          <w:szCs w:val="28"/>
          <w:lang w:val="en-GB"/>
        </w:rPr>
      </w:pPr>
      <w:r w:rsidRPr="002C697F">
        <w:rPr>
          <w:b/>
          <w:sz w:val="28"/>
          <w:szCs w:val="28"/>
          <w:u w:val="single"/>
          <w:lang w:val="en-GB"/>
        </w:rPr>
        <w:t>Note:</w:t>
      </w:r>
      <w:r w:rsidRPr="002C697F">
        <w:rPr>
          <w:b/>
          <w:sz w:val="28"/>
          <w:szCs w:val="28"/>
          <w:lang w:val="en-GB"/>
        </w:rPr>
        <w:t xml:space="preserve"> This longer version is a standalone document with all approved project plans annexed.</w:t>
      </w:r>
    </w:p>
    <w:p w14:paraId="21D2C399" w14:textId="2DA692BC" w:rsidR="00CC298A" w:rsidRDefault="00CC298A" w:rsidP="00CC298A">
      <w:pPr>
        <w:rPr>
          <w:lang w:val="en-GB"/>
        </w:rPr>
      </w:pPr>
    </w:p>
    <w:p w14:paraId="6A57FB14" w14:textId="77777777" w:rsidR="00CC298A" w:rsidRPr="00CC298A" w:rsidRDefault="00CC298A" w:rsidP="00CC298A">
      <w:pPr>
        <w:rPr>
          <w:lang w:val="en-GB"/>
        </w:rPr>
      </w:pPr>
    </w:p>
    <w:p w14:paraId="06B5D415" w14:textId="77777777" w:rsidR="00CC298A" w:rsidRDefault="00CC298A">
      <w:pPr>
        <w:spacing w:before="0" w:after="0"/>
        <w:jc w:val="left"/>
        <w:rPr>
          <w:rFonts w:eastAsiaTheme="majorEastAsia" w:cstheme="majorBidi"/>
          <w:b/>
          <w:color w:val="44546A" w:themeColor="text2"/>
          <w:sz w:val="32"/>
          <w:szCs w:val="32"/>
          <w:lang w:val="en-GB"/>
        </w:rPr>
      </w:pPr>
      <w:r>
        <w:rPr>
          <w:lang w:val="en-GB"/>
        </w:rPr>
        <w:br w:type="page"/>
      </w:r>
    </w:p>
    <w:p w14:paraId="68961E52" w14:textId="4C4824BA" w:rsidR="00331EEC" w:rsidRDefault="00331EEC" w:rsidP="009D3F22">
      <w:pPr>
        <w:pStyle w:val="Heading1"/>
        <w:rPr>
          <w:lang w:val="en-GB"/>
        </w:rPr>
      </w:pPr>
      <w:r>
        <w:rPr>
          <w:lang w:val="en-GB"/>
        </w:rPr>
        <w:lastRenderedPageBreak/>
        <w:t>TABLE OF CONTENTS</w:t>
      </w:r>
      <w:bookmarkEnd w:id="0"/>
    </w:p>
    <w:p w14:paraId="7C3C31DA" w14:textId="56A4F990" w:rsidR="00CC298A" w:rsidRDefault="00C46FF1">
      <w:pPr>
        <w:pStyle w:val="TOC1"/>
        <w:tabs>
          <w:tab w:val="right" w:leader="dot" w:pos="9056"/>
        </w:tabs>
        <w:rPr>
          <w:rFonts w:eastAsiaTheme="minorEastAsia"/>
          <w:noProof/>
          <w:szCs w:val="24"/>
        </w:rPr>
      </w:pPr>
      <w:r>
        <w:rPr>
          <w:lang w:val="en-GB"/>
        </w:rPr>
        <w:fldChar w:fldCharType="begin"/>
      </w:r>
      <w:r>
        <w:rPr>
          <w:lang w:val="en-GB"/>
        </w:rPr>
        <w:instrText xml:space="preserve"> TOC \o "1-3" \h \z \u </w:instrText>
      </w:r>
      <w:r>
        <w:rPr>
          <w:lang w:val="en-GB"/>
        </w:rPr>
        <w:fldChar w:fldCharType="separate"/>
      </w:r>
    </w:p>
    <w:p w14:paraId="2C517806" w14:textId="0D17102C" w:rsidR="00CC298A" w:rsidRDefault="00AC7420">
      <w:pPr>
        <w:pStyle w:val="TOC1"/>
        <w:tabs>
          <w:tab w:val="right" w:leader="dot" w:pos="9056"/>
        </w:tabs>
        <w:rPr>
          <w:rFonts w:eastAsiaTheme="minorEastAsia"/>
          <w:noProof/>
          <w:szCs w:val="24"/>
        </w:rPr>
      </w:pPr>
      <w:hyperlink w:anchor="_Toc536620128" w:history="1">
        <w:r w:rsidR="00CC298A" w:rsidRPr="00C52753">
          <w:rPr>
            <w:rStyle w:val="Hyperlink"/>
            <w:noProof/>
            <w:lang w:val="en-GB"/>
          </w:rPr>
          <w:t>PREFACE</w:t>
        </w:r>
        <w:r w:rsidR="00CC298A">
          <w:rPr>
            <w:noProof/>
            <w:webHidden/>
          </w:rPr>
          <w:tab/>
        </w:r>
        <w:r w:rsidR="00CC298A">
          <w:rPr>
            <w:noProof/>
            <w:webHidden/>
          </w:rPr>
          <w:fldChar w:fldCharType="begin"/>
        </w:r>
        <w:r w:rsidR="00CC298A">
          <w:rPr>
            <w:noProof/>
            <w:webHidden/>
          </w:rPr>
          <w:instrText xml:space="preserve"> PAGEREF _Toc536620128 \h </w:instrText>
        </w:r>
        <w:r w:rsidR="00CC298A">
          <w:rPr>
            <w:noProof/>
            <w:webHidden/>
          </w:rPr>
        </w:r>
        <w:r w:rsidR="00CC298A">
          <w:rPr>
            <w:noProof/>
            <w:webHidden/>
          </w:rPr>
          <w:fldChar w:fldCharType="separate"/>
        </w:r>
        <w:r w:rsidR="00CC298A">
          <w:rPr>
            <w:noProof/>
            <w:webHidden/>
          </w:rPr>
          <w:t>2</w:t>
        </w:r>
        <w:r w:rsidR="00CC298A">
          <w:rPr>
            <w:noProof/>
            <w:webHidden/>
          </w:rPr>
          <w:fldChar w:fldCharType="end"/>
        </w:r>
      </w:hyperlink>
    </w:p>
    <w:p w14:paraId="4C765386" w14:textId="2A1E65A2" w:rsidR="00CC298A" w:rsidRDefault="00AC7420">
      <w:pPr>
        <w:pStyle w:val="TOC1"/>
        <w:tabs>
          <w:tab w:val="right" w:leader="dot" w:pos="9056"/>
        </w:tabs>
        <w:rPr>
          <w:rFonts w:eastAsiaTheme="minorEastAsia"/>
          <w:noProof/>
          <w:szCs w:val="24"/>
        </w:rPr>
      </w:pPr>
      <w:hyperlink w:anchor="_Toc536620129" w:history="1">
        <w:r w:rsidR="00CC298A" w:rsidRPr="00C52753">
          <w:rPr>
            <w:rStyle w:val="Hyperlink"/>
            <w:noProof/>
            <w:lang w:val="en-GB"/>
          </w:rPr>
          <w:t>INTRODUCTION</w:t>
        </w:r>
        <w:r w:rsidR="00CC298A">
          <w:rPr>
            <w:noProof/>
            <w:webHidden/>
          </w:rPr>
          <w:tab/>
        </w:r>
        <w:r w:rsidR="00CC298A">
          <w:rPr>
            <w:noProof/>
            <w:webHidden/>
          </w:rPr>
          <w:fldChar w:fldCharType="begin"/>
        </w:r>
        <w:r w:rsidR="00CC298A">
          <w:rPr>
            <w:noProof/>
            <w:webHidden/>
          </w:rPr>
          <w:instrText xml:space="preserve"> PAGEREF _Toc536620129 \h </w:instrText>
        </w:r>
        <w:r w:rsidR="00CC298A">
          <w:rPr>
            <w:noProof/>
            <w:webHidden/>
          </w:rPr>
        </w:r>
        <w:r w:rsidR="00CC298A">
          <w:rPr>
            <w:noProof/>
            <w:webHidden/>
          </w:rPr>
          <w:fldChar w:fldCharType="separate"/>
        </w:r>
        <w:r w:rsidR="00CC298A">
          <w:rPr>
            <w:noProof/>
            <w:webHidden/>
          </w:rPr>
          <w:t>3</w:t>
        </w:r>
        <w:r w:rsidR="00CC298A">
          <w:rPr>
            <w:noProof/>
            <w:webHidden/>
          </w:rPr>
          <w:fldChar w:fldCharType="end"/>
        </w:r>
      </w:hyperlink>
    </w:p>
    <w:p w14:paraId="726F113F" w14:textId="6CFDC256" w:rsidR="00CC298A" w:rsidRDefault="00AC7420">
      <w:pPr>
        <w:pStyle w:val="TOC1"/>
        <w:tabs>
          <w:tab w:val="right" w:leader="dot" w:pos="9056"/>
        </w:tabs>
        <w:rPr>
          <w:rFonts w:eastAsiaTheme="minorEastAsia"/>
          <w:noProof/>
          <w:szCs w:val="24"/>
        </w:rPr>
      </w:pPr>
      <w:hyperlink w:anchor="_Toc536620130" w:history="1">
        <w:r w:rsidR="00CC298A" w:rsidRPr="00C52753">
          <w:rPr>
            <w:rStyle w:val="Hyperlink"/>
            <w:noProof/>
          </w:rPr>
          <w:t>PROJECTS AND ACTIVITIES</w:t>
        </w:r>
        <w:r w:rsidR="00CC298A">
          <w:rPr>
            <w:noProof/>
            <w:webHidden/>
          </w:rPr>
          <w:tab/>
        </w:r>
        <w:r w:rsidR="00CC298A">
          <w:rPr>
            <w:noProof/>
            <w:webHidden/>
          </w:rPr>
          <w:fldChar w:fldCharType="begin"/>
        </w:r>
        <w:r w:rsidR="00CC298A">
          <w:rPr>
            <w:noProof/>
            <w:webHidden/>
          </w:rPr>
          <w:instrText xml:space="preserve"> PAGEREF _Toc536620130 \h </w:instrText>
        </w:r>
        <w:r w:rsidR="00CC298A">
          <w:rPr>
            <w:noProof/>
            <w:webHidden/>
          </w:rPr>
        </w:r>
        <w:r w:rsidR="00CC298A">
          <w:rPr>
            <w:noProof/>
            <w:webHidden/>
          </w:rPr>
          <w:fldChar w:fldCharType="separate"/>
        </w:r>
        <w:r w:rsidR="00CC298A">
          <w:rPr>
            <w:noProof/>
            <w:webHidden/>
          </w:rPr>
          <w:t>3</w:t>
        </w:r>
        <w:r w:rsidR="00CC298A">
          <w:rPr>
            <w:noProof/>
            <w:webHidden/>
          </w:rPr>
          <w:fldChar w:fldCharType="end"/>
        </w:r>
      </w:hyperlink>
    </w:p>
    <w:p w14:paraId="29F5885D" w14:textId="15EDCF55" w:rsidR="00CC298A" w:rsidRDefault="00AC7420">
      <w:pPr>
        <w:pStyle w:val="TOC1"/>
        <w:tabs>
          <w:tab w:val="right" w:leader="dot" w:pos="9056"/>
        </w:tabs>
        <w:rPr>
          <w:rFonts w:eastAsiaTheme="minorEastAsia"/>
          <w:noProof/>
          <w:szCs w:val="24"/>
        </w:rPr>
      </w:pPr>
      <w:hyperlink w:anchor="_Toc536620131" w:history="1">
        <w:r w:rsidR="00CC298A" w:rsidRPr="00C52753">
          <w:rPr>
            <w:rStyle w:val="Hyperlink"/>
            <w:noProof/>
          </w:rPr>
          <w:t>Annex I: XXX</w:t>
        </w:r>
        <w:r w:rsidR="00CC298A">
          <w:rPr>
            <w:noProof/>
            <w:webHidden/>
          </w:rPr>
          <w:tab/>
        </w:r>
        <w:r w:rsidR="00CC298A">
          <w:rPr>
            <w:noProof/>
            <w:webHidden/>
          </w:rPr>
          <w:fldChar w:fldCharType="begin"/>
        </w:r>
        <w:r w:rsidR="00CC298A">
          <w:rPr>
            <w:noProof/>
            <w:webHidden/>
          </w:rPr>
          <w:instrText xml:space="preserve"> PAGEREF _Toc536620131 \h </w:instrText>
        </w:r>
        <w:r w:rsidR="00CC298A">
          <w:rPr>
            <w:noProof/>
            <w:webHidden/>
          </w:rPr>
        </w:r>
        <w:r w:rsidR="00CC298A">
          <w:rPr>
            <w:noProof/>
            <w:webHidden/>
          </w:rPr>
          <w:fldChar w:fldCharType="separate"/>
        </w:r>
        <w:r w:rsidR="00CC298A">
          <w:rPr>
            <w:noProof/>
            <w:webHidden/>
          </w:rPr>
          <w:t>15</w:t>
        </w:r>
        <w:r w:rsidR="00CC298A">
          <w:rPr>
            <w:noProof/>
            <w:webHidden/>
          </w:rPr>
          <w:fldChar w:fldCharType="end"/>
        </w:r>
      </w:hyperlink>
    </w:p>
    <w:p w14:paraId="4B7D0F9B" w14:textId="4A6A9EC4" w:rsidR="00CC298A" w:rsidRDefault="00AC7420">
      <w:pPr>
        <w:pStyle w:val="TOC1"/>
        <w:tabs>
          <w:tab w:val="right" w:leader="dot" w:pos="9056"/>
        </w:tabs>
        <w:rPr>
          <w:rFonts w:eastAsiaTheme="minorEastAsia"/>
          <w:noProof/>
          <w:szCs w:val="24"/>
        </w:rPr>
      </w:pPr>
      <w:hyperlink w:anchor="_Toc536620132" w:history="1">
        <w:r w:rsidR="00CC298A" w:rsidRPr="00C52753">
          <w:rPr>
            <w:rStyle w:val="Hyperlink"/>
            <w:noProof/>
          </w:rPr>
          <w:t>Annex II: XXX</w:t>
        </w:r>
        <w:r w:rsidR="00CC298A">
          <w:rPr>
            <w:noProof/>
            <w:webHidden/>
          </w:rPr>
          <w:tab/>
        </w:r>
        <w:r w:rsidR="00CC298A">
          <w:rPr>
            <w:noProof/>
            <w:webHidden/>
          </w:rPr>
          <w:fldChar w:fldCharType="begin"/>
        </w:r>
        <w:r w:rsidR="00CC298A">
          <w:rPr>
            <w:noProof/>
            <w:webHidden/>
          </w:rPr>
          <w:instrText xml:space="preserve"> PAGEREF _Toc536620132 \h </w:instrText>
        </w:r>
        <w:r w:rsidR="00CC298A">
          <w:rPr>
            <w:noProof/>
            <w:webHidden/>
          </w:rPr>
        </w:r>
        <w:r w:rsidR="00CC298A">
          <w:rPr>
            <w:noProof/>
            <w:webHidden/>
          </w:rPr>
          <w:fldChar w:fldCharType="separate"/>
        </w:r>
        <w:r w:rsidR="00CC298A">
          <w:rPr>
            <w:noProof/>
            <w:webHidden/>
          </w:rPr>
          <w:t>15</w:t>
        </w:r>
        <w:r w:rsidR="00CC298A">
          <w:rPr>
            <w:noProof/>
            <w:webHidden/>
          </w:rPr>
          <w:fldChar w:fldCharType="end"/>
        </w:r>
      </w:hyperlink>
    </w:p>
    <w:p w14:paraId="17CC9383" w14:textId="16CE7BA8" w:rsidR="00CC298A" w:rsidRDefault="00AC7420">
      <w:pPr>
        <w:pStyle w:val="TOC1"/>
        <w:tabs>
          <w:tab w:val="right" w:leader="dot" w:pos="9056"/>
        </w:tabs>
        <w:rPr>
          <w:rFonts w:eastAsiaTheme="minorEastAsia"/>
          <w:noProof/>
          <w:szCs w:val="24"/>
        </w:rPr>
      </w:pPr>
      <w:hyperlink w:anchor="_Toc536620133" w:history="1">
        <w:r w:rsidR="00CC298A" w:rsidRPr="00C52753">
          <w:rPr>
            <w:rStyle w:val="Hyperlink"/>
            <w:noProof/>
          </w:rPr>
          <w:t>Annex III: XXX</w:t>
        </w:r>
        <w:r w:rsidR="00CC298A">
          <w:rPr>
            <w:noProof/>
            <w:webHidden/>
          </w:rPr>
          <w:tab/>
        </w:r>
        <w:r w:rsidR="00CC298A">
          <w:rPr>
            <w:noProof/>
            <w:webHidden/>
          </w:rPr>
          <w:fldChar w:fldCharType="begin"/>
        </w:r>
        <w:r w:rsidR="00CC298A">
          <w:rPr>
            <w:noProof/>
            <w:webHidden/>
          </w:rPr>
          <w:instrText xml:space="preserve"> PAGEREF _Toc536620133 \h </w:instrText>
        </w:r>
        <w:r w:rsidR="00CC298A">
          <w:rPr>
            <w:noProof/>
            <w:webHidden/>
          </w:rPr>
        </w:r>
        <w:r w:rsidR="00CC298A">
          <w:rPr>
            <w:noProof/>
            <w:webHidden/>
          </w:rPr>
          <w:fldChar w:fldCharType="separate"/>
        </w:r>
        <w:r w:rsidR="00CC298A">
          <w:rPr>
            <w:noProof/>
            <w:webHidden/>
          </w:rPr>
          <w:t>15</w:t>
        </w:r>
        <w:r w:rsidR="00CC298A">
          <w:rPr>
            <w:noProof/>
            <w:webHidden/>
          </w:rPr>
          <w:fldChar w:fldCharType="end"/>
        </w:r>
      </w:hyperlink>
    </w:p>
    <w:p w14:paraId="1E43D924" w14:textId="56AE4FAE" w:rsidR="00CC298A" w:rsidRDefault="00AC7420">
      <w:pPr>
        <w:pStyle w:val="TOC1"/>
        <w:tabs>
          <w:tab w:val="right" w:leader="dot" w:pos="9056"/>
        </w:tabs>
        <w:rPr>
          <w:rFonts w:eastAsiaTheme="minorEastAsia"/>
          <w:noProof/>
          <w:szCs w:val="24"/>
        </w:rPr>
      </w:pPr>
      <w:hyperlink w:anchor="_Toc536620134" w:history="1">
        <w:r w:rsidR="00CC298A" w:rsidRPr="00C52753">
          <w:rPr>
            <w:rStyle w:val="Hyperlink"/>
            <w:noProof/>
          </w:rPr>
          <w:t>Annex IV: XXX</w:t>
        </w:r>
        <w:r w:rsidR="00CC298A">
          <w:rPr>
            <w:noProof/>
            <w:webHidden/>
          </w:rPr>
          <w:tab/>
        </w:r>
        <w:r w:rsidR="00CC298A">
          <w:rPr>
            <w:noProof/>
            <w:webHidden/>
          </w:rPr>
          <w:fldChar w:fldCharType="begin"/>
        </w:r>
        <w:r w:rsidR="00CC298A">
          <w:rPr>
            <w:noProof/>
            <w:webHidden/>
          </w:rPr>
          <w:instrText xml:space="preserve"> PAGEREF _Toc536620134 \h </w:instrText>
        </w:r>
        <w:r w:rsidR="00CC298A">
          <w:rPr>
            <w:noProof/>
            <w:webHidden/>
          </w:rPr>
        </w:r>
        <w:r w:rsidR="00CC298A">
          <w:rPr>
            <w:noProof/>
            <w:webHidden/>
          </w:rPr>
          <w:fldChar w:fldCharType="separate"/>
        </w:r>
        <w:r w:rsidR="00CC298A">
          <w:rPr>
            <w:noProof/>
            <w:webHidden/>
          </w:rPr>
          <w:t>15</w:t>
        </w:r>
        <w:r w:rsidR="00CC298A">
          <w:rPr>
            <w:noProof/>
            <w:webHidden/>
          </w:rPr>
          <w:fldChar w:fldCharType="end"/>
        </w:r>
      </w:hyperlink>
    </w:p>
    <w:p w14:paraId="2BEDF7AC" w14:textId="132D3140" w:rsidR="00CC298A" w:rsidRDefault="00AC7420">
      <w:pPr>
        <w:pStyle w:val="TOC1"/>
        <w:tabs>
          <w:tab w:val="right" w:leader="dot" w:pos="9056"/>
        </w:tabs>
        <w:rPr>
          <w:rFonts w:eastAsiaTheme="minorEastAsia"/>
          <w:noProof/>
          <w:szCs w:val="24"/>
        </w:rPr>
      </w:pPr>
      <w:hyperlink w:anchor="_Toc536620135" w:history="1">
        <w:r w:rsidR="00CC298A" w:rsidRPr="00C52753">
          <w:rPr>
            <w:rStyle w:val="Hyperlink"/>
            <w:noProof/>
          </w:rPr>
          <w:t>Annex V: XXX</w:t>
        </w:r>
        <w:r w:rsidR="00CC298A">
          <w:rPr>
            <w:noProof/>
            <w:webHidden/>
          </w:rPr>
          <w:tab/>
        </w:r>
        <w:r w:rsidR="00CC298A">
          <w:rPr>
            <w:noProof/>
            <w:webHidden/>
          </w:rPr>
          <w:fldChar w:fldCharType="begin"/>
        </w:r>
        <w:r w:rsidR="00CC298A">
          <w:rPr>
            <w:noProof/>
            <w:webHidden/>
          </w:rPr>
          <w:instrText xml:space="preserve"> PAGEREF _Toc536620135 \h </w:instrText>
        </w:r>
        <w:r w:rsidR="00CC298A">
          <w:rPr>
            <w:noProof/>
            <w:webHidden/>
          </w:rPr>
        </w:r>
        <w:r w:rsidR="00CC298A">
          <w:rPr>
            <w:noProof/>
            <w:webHidden/>
          </w:rPr>
          <w:fldChar w:fldCharType="separate"/>
        </w:r>
        <w:r w:rsidR="00CC298A">
          <w:rPr>
            <w:noProof/>
            <w:webHidden/>
          </w:rPr>
          <w:t>15</w:t>
        </w:r>
        <w:r w:rsidR="00CC298A">
          <w:rPr>
            <w:noProof/>
            <w:webHidden/>
          </w:rPr>
          <w:fldChar w:fldCharType="end"/>
        </w:r>
      </w:hyperlink>
    </w:p>
    <w:p w14:paraId="634340CC" w14:textId="2E56A0E6" w:rsidR="00CC298A" w:rsidRDefault="00AC7420">
      <w:pPr>
        <w:pStyle w:val="TOC1"/>
        <w:tabs>
          <w:tab w:val="right" w:leader="dot" w:pos="9056"/>
        </w:tabs>
        <w:rPr>
          <w:rFonts w:eastAsiaTheme="minorEastAsia"/>
          <w:noProof/>
          <w:szCs w:val="24"/>
        </w:rPr>
      </w:pPr>
      <w:hyperlink w:anchor="_Toc536620136" w:history="1">
        <w:r w:rsidR="00CC298A" w:rsidRPr="00C52753">
          <w:rPr>
            <w:rStyle w:val="Hyperlink"/>
            <w:noProof/>
          </w:rPr>
          <w:t>Annex VI: XXX</w:t>
        </w:r>
        <w:r w:rsidR="00CC298A">
          <w:rPr>
            <w:noProof/>
            <w:webHidden/>
          </w:rPr>
          <w:tab/>
        </w:r>
        <w:r w:rsidR="00CC298A">
          <w:rPr>
            <w:noProof/>
            <w:webHidden/>
          </w:rPr>
          <w:fldChar w:fldCharType="begin"/>
        </w:r>
        <w:r w:rsidR="00CC298A">
          <w:rPr>
            <w:noProof/>
            <w:webHidden/>
          </w:rPr>
          <w:instrText xml:space="preserve"> PAGEREF _Toc536620136 \h </w:instrText>
        </w:r>
        <w:r w:rsidR="00CC298A">
          <w:rPr>
            <w:noProof/>
            <w:webHidden/>
          </w:rPr>
        </w:r>
        <w:r w:rsidR="00CC298A">
          <w:rPr>
            <w:noProof/>
            <w:webHidden/>
          </w:rPr>
          <w:fldChar w:fldCharType="separate"/>
        </w:r>
        <w:r w:rsidR="00CC298A">
          <w:rPr>
            <w:noProof/>
            <w:webHidden/>
          </w:rPr>
          <w:t>15</w:t>
        </w:r>
        <w:r w:rsidR="00CC298A">
          <w:rPr>
            <w:noProof/>
            <w:webHidden/>
          </w:rPr>
          <w:fldChar w:fldCharType="end"/>
        </w:r>
      </w:hyperlink>
    </w:p>
    <w:p w14:paraId="2619BE9C" w14:textId="09D54AD8" w:rsidR="00CC298A" w:rsidRDefault="00AC7420">
      <w:pPr>
        <w:pStyle w:val="TOC1"/>
        <w:tabs>
          <w:tab w:val="right" w:leader="dot" w:pos="9056"/>
        </w:tabs>
        <w:rPr>
          <w:rFonts w:eastAsiaTheme="minorEastAsia"/>
          <w:noProof/>
          <w:szCs w:val="24"/>
        </w:rPr>
      </w:pPr>
      <w:hyperlink w:anchor="_Toc536620137" w:history="1">
        <w:r w:rsidR="00CC298A" w:rsidRPr="00C52753">
          <w:rPr>
            <w:rStyle w:val="Hyperlink"/>
            <w:noProof/>
          </w:rPr>
          <w:t>Annex VII: XXX</w:t>
        </w:r>
        <w:r w:rsidR="00CC298A">
          <w:rPr>
            <w:noProof/>
            <w:webHidden/>
          </w:rPr>
          <w:tab/>
        </w:r>
        <w:r w:rsidR="00CC298A">
          <w:rPr>
            <w:noProof/>
            <w:webHidden/>
          </w:rPr>
          <w:fldChar w:fldCharType="begin"/>
        </w:r>
        <w:r w:rsidR="00CC298A">
          <w:rPr>
            <w:noProof/>
            <w:webHidden/>
          </w:rPr>
          <w:instrText xml:space="preserve"> PAGEREF _Toc536620137 \h </w:instrText>
        </w:r>
        <w:r w:rsidR="00CC298A">
          <w:rPr>
            <w:noProof/>
            <w:webHidden/>
          </w:rPr>
        </w:r>
        <w:r w:rsidR="00CC298A">
          <w:rPr>
            <w:noProof/>
            <w:webHidden/>
          </w:rPr>
          <w:fldChar w:fldCharType="separate"/>
        </w:r>
        <w:r w:rsidR="00CC298A">
          <w:rPr>
            <w:noProof/>
            <w:webHidden/>
          </w:rPr>
          <w:t>15</w:t>
        </w:r>
        <w:r w:rsidR="00CC298A">
          <w:rPr>
            <w:noProof/>
            <w:webHidden/>
          </w:rPr>
          <w:fldChar w:fldCharType="end"/>
        </w:r>
      </w:hyperlink>
    </w:p>
    <w:p w14:paraId="2B544124" w14:textId="51D890EA" w:rsidR="00331EEC" w:rsidRPr="00331EEC" w:rsidRDefault="00C46FF1" w:rsidP="003A4AD1">
      <w:pPr>
        <w:jc w:val="left"/>
        <w:rPr>
          <w:lang w:val="en-GB"/>
        </w:rPr>
      </w:pPr>
      <w:r>
        <w:rPr>
          <w:lang w:val="en-GB"/>
        </w:rPr>
        <w:fldChar w:fldCharType="end"/>
      </w:r>
    </w:p>
    <w:p w14:paraId="5A153098" w14:textId="77777777" w:rsidR="00C46FF1" w:rsidRPr="00C46FF1" w:rsidRDefault="00C46FF1" w:rsidP="00C46FF1">
      <w:pPr>
        <w:rPr>
          <w:lang w:val="en-GB"/>
        </w:rPr>
      </w:pPr>
    </w:p>
    <w:p w14:paraId="79F6273C" w14:textId="77777777" w:rsidR="00331EEC" w:rsidRPr="00C91209" w:rsidRDefault="00331EEC" w:rsidP="009D3F22">
      <w:pPr>
        <w:pStyle w:val="Heading1"/>
        <w:rPr>
          <w:rFonts w:cs="Times"/>
          <w:lang w:val="en-GB"/>
        </w:rPr>
      </w:pPr>
      <w:bookmarkStart w:id="5" w:name="_Toc536620128"/>
      <w:r w:rsidRPr="00C91209">
        <w:rPr>
          <w:lang w:val="en-GB"/>
        </w:rPr>
        <w:t>PREFACE</w:t>
      </w:r>
      <w:bookmarkEnd w:id="1"/>
      <w:bookmarkEnd w:id="2"/>
      <w:bookmarkEnd w:id="3"/>
      <w:bookmarkEnd w:id="4"/>
      <w:bookmarkEnd w:id="5"/>
    </w:p>
    <w:p w14:paraId="734C17D6" w14:textId="77777777" w:rsidR="00331EEC" w:rsidRDefault="00331EEC" w:rsidP="003A4AD1">
      <w:pPr>
        <w:spacing w:line="276" w:lineRule="auto"/>
        <w:jc w:val="left"/>
      </w:pPr>
      <w:r>
        <w:t xml:space="preserve">PAME focuses on the marine agenda of the Arctic Council and provides a unique forum for collaboration on a wide range of activities directed towards the protection and sustainable use of the Arctic marine environment. </w:t>
      </w:r>
    </w:p>
    <w:p w14:paraId="493B7470" w14:textId="77777777" w:rsidR="00331EEC" w:rsidRDefault="00331EEC" w:rsidP="003A4AD1">
      <w:pPr>
        <w:widowControl w:val="0"/>
        <w:autoSpaceDE w:val="0"/>
        <w:autoSpaceDN w:val="0"/>
        <w:adjustRightInd w:val="0"/>
        <w:jc w:val="left"/>
      </w:pPr>
      <w:r w:rsidRPr="00C91209">
        <w:rPr>
          <w:rFonts w:cs="Calibri"/>
          <w:color w:val="000000"/>
          <w:szCs w:val="24"/>
          <w:lang w:val="en-GB"/>
        </w:rPr>
        <w:t>PAME‘s activities are based</w:t>
      </w:r>
      <w:r w:rsidRPr="00013FFA">
        <w:rPr>
          <w:rFonts w:cs="Calibri"/>
          <w:color w:val="000000"/>
          <w:szCs w:val="24"/>
          <w:lang w:val="en-GB"/>
        </w:rPr>
        <w:t xml:space="preserve"> on its mandate</w:t>
      </w:r>
      <w:r>
        <w:rPr>
          <w:rFonts w:cs="Calibri"/>
          <w:color w:val="000000"/>
          <w:szCs w:val="24"/>
          <w:lang w:val="en-GB"/>
        </w:rPr>
        <w:t xml:space="preserve"> </w:t>
      </w:r>
      <w:r>
        <w:t>to address marine policy measures and other measures related to the conservation and sustainable use of the Arctic marine and coastal environment in response to environmental change from both land and sea-based activities, including non-emergency pollution prevention control measures such as coordinated strategic plans as well as developing programs, assessments and guidelines, all of which aim to complement or supplement efforts and existing arrangements for the for the protection and sustainable development of the Arctic marine environment.</w:t>
      </w:r>
      <w:r w:rsidRPr="00013FFA">
        <w:rPr>
          <w:rFonts w:cs="Calibri"/>
          <w:color w:val="000000"/>
          <w:szCs w:val="24"/>
          <w:lang w:val="en-GB"/>
        </w:rPr>
        <w:t xml:space="preserve"> </w:t>
      </w:r>
    </w:p>
    <w:p w14:paraId="08EEC4BB" w14:textId="77777777" w:rsidR="00331EEC" w:rsidRPr="00C91209" w:rsidRDefault="00331EEC" w:rsidP="003A4AD1">
      <w:pPr>
        <w:widowControl w:val="0"/>
        <w:autoSpaceDE w:val="0"/>
        <w:autoSpaceDN w:val="0"/>
        <w:adjustRightInd w:val="0"/>
        <w:jc w:val="left"/>
        <w:rPr>
          <w:rFonts w:cs="Times"/>
          <w:color w:val="000000"/>
          <w:szCs w:val="24"/>
          <w:lang w:val="en-GB"/>
        </w:rPr>
      </w:pPr>
      <w:r w:rsidRPr="00C91209">
        <w:rPr>
          <w:rFonts w:cs="Calibri"/>
          <w:color w:val="000000"/>
          <w:szCs w:val="24"/>
          <w:lang w:val="en-GB"/>
        </w:rPr>
        <w:t>PAME provides a unique forum for collaboration on a wide range of Arctic marine environment issues and consists of representatives from the Arctic states</w:t>
      </w:r>
      <w:r>
        <w:rPr>
          <w:rFonts w:cs="Calibri"/>
          <w:color w:val="000000"/>
          <w:szCs w:val="24"/>
          <w:lang w:val="en-GB"/>
        </w:rPr>
        <w:t>, who are</w:t>
      </w:r>
      <w:r w:rsidRPr="00C91209">
        <w:rPr>
          <w:rFonts w:cs="Calibri"/>
          <w:color w:val="000000"/>
          <w:szCs w:val="24"/>
          <w:lang w:val="en-GB"/>
        </w:rPr>
        <w:t xml:space="preserve"> responsible for its work in their respective countries</w:t>
      </w:r>
      <w:r>
        <w:rPr>
          <w:rFonts w:cs="Calibri"/>
          <w:color w:val="000000"/>
          <w:szCs w:val="24"/>
          <w:lang w:val="en-GB"/>
        </w:rPr>
        <w:t>,</w:t>
      </w:r>
      <w:r w:rsidRPr="00C91209">
        <w:rPr>
          <w:rFonts w:cs="Calibri"/>
          <w:color w:val="000000"/>
          <w:szCs w:val="24"/>
          <w:lang w:val="en-GB"/>
        </w:rPr>
        <w:t xml:space="preserve"> and representatives of Permanent Participant organizations on behalf of Arctic indigenous peoples. Additionally, the other Arctic subsidiary bodies, accredited observers and other Arctic stakeholders contribute to the ongoing work of PAME. </w:t>
      </w:r>
    </w:p>
    <w:p w14:paraId="4AFDFDD1" w14:textId="77777777" w:rsidR="00331EEC" w:rsidRDefault="00331EEC" w:rsidP="003A4AD1">
      <w:pPr>
        <w:widowControl w:val="0"/>
        <w:autoSpaceDE w:val="0"/>
        <w:autoSpaceDN w:val="0"/>
        <w:adjustRightInd w:val="0"/>
        <w:jc w:val="left"/>
        <w:rPr>
          <w:rFonts w:cs="Calibri"/>
          <w:color w:val="000000"/>
          <w:szCs w:val="24"/>
          <w:lang w:val="en-GB"/>
        </w:rPr>
      </w:pPr>
      <w:r w:rsidRPr="00C91209">
        <w:rPr>
          <w:rFonts w:cs="Calibri"/>
          <w:color w:val="000000"/>
          <w:szCs w:val="24"/>
          <w:lang w:val="en-GB"/>
        </w:rPr>
        <w:t xml:space="preserve">PAME generally meets twice a year to assess progress and advance its work. PAME is headed by a </w:t>
      </w:r>
      <w:r>
        <w:rPr>
          <w:rFonts w:cs="Calibri"/>
          <w:color w:val="000000"/>
          <w:szCs w:val="24"/>
          <w:lang w:val="en-GB"/>
        </w:rPr>
        <w:t>C</w:t>
      </w:r>
      <w:r w:rsidRPr="00C91209">
        <w:rPr>
          <w:rFonts w:cs="Calibri"/>
          <w:color w:val="000000"/>
          <w:szCs w:val="24"/>
          <w:lang w:val="en-GB"/>
        </w:rPr>
        <w:t xml:space="preserve">hair and </w:t>
      </w:r>
      <w:r>
        <w:rPr>
          <w:rFonts w:cs="Calibri"/>
          <w:color w:val="000000"/>
          <w:szCs w:val="24"/>
          <w:lang w:val="en-GB"/>
        </w:rPr>
        <w:t>V</w:t>
      </w:r>
      <w:r w:rsidRPr="00C91209">
        <w:rPr>
          <w:rFonts w:cs="Calibri"/>
          <w:color w:val="000000"/>
          <w:szCs w:val="24"/>
          <w:lang w:val="en-GB"/>
        </w:rPr>
        <w:t>ice</w:t>
      </w:r>
      <w:r>
        <w:rPr>
          <w:rFonts w:cs="Calibri"/>
          <w:color w:val="000000"/>
          <w:szCs w:val="24"/>
          <w:lang w:val="en-GB"/>
        </w:rPr>
        <w:t>-C</w:t>
      </w:r>
      <w:r w:rsidRPr="00C91209">
        <w:rPr>
          <w:rFonts w:cs="Calibri"/>
          <w:color w:val="000000"/>
          <w:szCs w:val="24"/>
          <w:lang w:val="en-GB"/>
        </w:rPr>
        <w:t>hair, which rotate among the Arctic States and are supported by a</w:t>
      </w:r>
      <w:r>
        <w:rPr>
          <w:rFonts w:cs="Calibri"/>
          <w:color w:val="000000"/>
          <w:szCs w:val="24"/>
          <w:lang w:val="en-GB"/>
        </w:rPr>
        <w:t xml:space="preserve"> </w:t>
      </w:r>
      <w:r w:rsidRPr="00C91209">
        <w:rPr>
          <w:rFonts w:cs="Calibri"/>
          <w:color w:val="000000"/>
          <w:szCs w:val="24"/>
          <w:lang w:val="en-GB"/>
        </w:rPr>
        <w:t>Secretariat based in Iceland. PAME reports to the Senior Arctic Officials</w:t>
      </w:r>
      <w:r>
        <w:rPr>
          <w:rFonts w:cs="Calibri"/>
          <w:color w:val="000000"/>
          <w:szCs w:val="24"/>
          <w:lang w:val="en-GB"/>
        </w:rPr>
        <w:t xml:space="preserve"> (SAOs)</w:t>
      </w:r>
      <w:r w:rsidRPr="00C91209">
        <w:rPr>
          <w:rFonts w:cs="Calibri"/>
          <w:color w:val="000000"/>
          <w:szCs w:val="24"/>
          <w:lang w:val="en-GB"/>
        </w:rPr>
        <w:t>, and through them, to the Ministers of the Arctic Council who meet every two years. PAME</w:t>
      </w:r>
      <w:r>
        <w:rPr>
          <w:rFonts w:cs="Calibri"/>
          <w:color w:val="000000"/>
          <w:szCs w:val="24"/>
          <w:lang w:val="en-GB"/>
        </w:rPr>
        <w:t>’</w:t>
      </w:r>
      <w:r w:rsidRPr="00C91209">
        <w:rPr>
          <w:rFonts w:cs="Calibri"/>
          <w:color w:val="000000"/>
          <w:szCs w:val="24"/>
          <w:lang w:val="en-GB"/>
        </w:rPr>
        <w:t xml:space="preserve">s work plan is approved by the SAOs and the Ministers. </w:t>
      </w:r>
    </w:p>
    <w:p w14:paraId="0CFF2A7F" w14:textId="77777777" w:rsidR="00331EEC" w:rsidRDefault="00331EEC" w:rsidP="003A4AD1">
      <w:pPr>
        <w:widowControl w:val="0"/>
        <w:autoSpaceDE w:val="0"/>
        <w:autoSpaceDN w:val="0"/>
        <w:adjustRightInd w:val="0"/>
        <w:jc w:val="left"/>
        <w:rPr>
          <w:rFonts w:cs="Calibri"/>
          <w:color w:val="000000"/>
          <w:szCs w:val="24"/>
          <w:lang w:val="en-GB"/>
        </w:rPr>
      </w:pPr>
    </w:p>
    <w:p w14:paraId="340E0F5F" w14:textId="77777777" w:rsidR="009433CD" w:rsidRDefault="009433CD" w:rsidP="003A4AD1">
      <w:pPr>
        <w:widowControl w:val="0"/>
        <w:autoSpaceDE w:val="0"/>
        <w:autoSpaceDN w:val="0"/>
        <w:adjustRightInd w:val="0"/>
        <w:jc w:val="left"/>
        <w:rPr>
          <w:rFonts w:cs="Calibri"/>
          <w:color w:val="000000"/>
          <w:szCs w:val="24"/>
          <w:lang w:val="en-GB"/>
        </w:rPr>
      </w:pPr>
    </w:p>
    <w:p w14:paraId="1D452A87" w14:textId="77777777" w:rsidR="00331EEC" w:rsidRPr="00606C8A" w:rsidRDefault="00331EEC" w:rsidP="009D3F22">
      <w:pPr>
        <w:pStyle w:val="Heading1"/>
        <w:rPr>
          <w:lang w:val="en-GB"/>
        </w:rPr>
      </w:pPr>
      <w:bookmarkStart w:id="6" w:name="_INTRODUCTION"/>
      <w:bookmarkStart w:id="7" w:name="_Toc481092014"/>
      <w:bookmarkStart w:id="8" w:name="_Toc355010617"/>
      <w:bookmarkStart w:id="9" w:name="_Toc355615167"/>
      <w:bookmarkStart w:id="10" w:name="_Toc355615347"/>
      <w:bookmarkStart w:id="11" w:name="_Toc536620129"/>
      <w:bookmarkEnd w:id="6"/>
      <w:r>
        <w:rPr>
          <w:lang w:val="en-GB"/>
        </w:rPr>
        <w:lastRenderedPageBreak/>
        <w:t>INTRODUCTION</w:t>
      </w:r>
      <w:bookmarkEnd w:id="7"/>
      <w:bookmarkEnd w:id="8"/>
      <w:bookmarkEnd w:id="9"/>
      <w:bookmarkEnd w:id="10"/>
      <w:bookmarkEnd w:id="11"/>
    </w:p>
    <w:p w14:paraId="017D4906" w14:textId="77777777" w:rsidR="00331EEC" w:rsidRDefault="00331EEC" w:rsidP="003A4AD1">
      <w:pPr>
        <w:jc w:val="left"/>
      </w:pPr>
      <w:r>
        <w:t>The PAME Work Plan 201</w:t>
      </w:r>
      <w:r w:rsidR="00477893">
        <w:t>9</w:t>
      </w:r>
      <w:r>
        <w:t>-20</w:t>
      </w:r>
      <w:r w:rsidR="00477893">
        <w:t>21</w:t>
      </w:r>
      <w:r>
        <w:t xml:space="preserve"> was developed according to:</w:t>
      </w:r>
    </w:p>
    <w:p w14:paraId="3E6725B3" w14:textId="77777777" w:rsidR="00331EEC" w:rsidRDefault="00331EEC" w:rsidP="003A4AD1">
      <w:pPr>
        <w:pStyle w:val="ListParagraph"/>
        <w:numPr>
          <w:ilvl w:val="0"/>
          <w:numId w:val="1"/>
        </w:numPr>
        <w:ind w:left="714" w:hanging="357"/>
        <w:contextualSpacing w:val="0"/>
        <w:jc w:val="left"/>
      </w:pPr>
      <w:r>
        <w:t>PAME’s mandate;</w:t>
      </w:r>
    </w:p>
    <w:p w14:paraId="161E188D" w14:textId="77777777" w:rsidR="00331EEC" w:rsidRDefault="00331EEC" w:rsidP="003A4AD1">
      <w:pPr>
        <w:pStyle w:val="ListParagraph"/>
        <w:numPr>
          <w:ilvl w:val="0"/>
          <w:numId w:val="1"/>
        </w:numPr>
        <w:ind w:left="714" w:hanging="357"/>
        <w:contextualSpacing w:val="0"/>
        <w:jc w:val="left"/>
      </w:pPr>
      <w:r>
        <w:t>priorities identified and recommendations made in reports and arrangements developed by or negotiated in Arctic Council subsidiary bodies that are approved by the SAOs and Arctic Ministers;</w:t>
      </w:r>
    </w:p>
    <w:p w14:paraId="1BA093F8" w14:textId="77777777" w:rsidR="00331EEC" w:rsidRDefault="00331EEC" w:rsidP="003A4AD1">
      <w:pPr>
        <w:pStyle w:val="ListParagraph"/>
        <w:numPr>
          <w:ilvl w:val="0"/>
          <w:numId w:val="1"/>
        </w:numPr>
        <w:ind w:left="714" w:hanging="357"/>
        <w:contextualSpacing w:val="0"/>
        <w:jc w:val="left"/>
      </w:pPr>
      <w:r>
        <w:t>direction provided in Ministerial declarations;</w:t>
      </w:r>
    </w:p>
    <w:p w14:paraId="7A595427" w14:textId="77777777" w:rsidR="00331EEC" w:rsidRDefault="00331EEC" w:rsidP="003A4AD1">
      <w:pPr>
        <w:pStyle w:val="ListParagraph"/>
        <w:numPr>
          <w:ilvl w:val="0"/>
          <w:numId w:val="1"/>
        </w:numPr>
        <w:ind w:left="714" w:hanging="357"/>
        <w:contextualSpacing w:val="0"/>
        <w:jc w:val="left"/>
      </w:pPr>
      <w:r>
        <w:t>follow-up on recommendations from Arctic Council projects and the Arctic Marine Strategic Plan (2015-2025), which outlines the overall direction of the Arctic Council for the protection of the Arctic marine environment, in addition to policy follow up to the scientific and other relevant assessments of the Arctic Council.</w:t>
      </w:r>
    </w:p>
    <w:p w14:paraId="4FFE4BCF" w14:textId="77777777" w:rsidR="009433CD" w:rsidRDefault="009433CD" w:rsidP="003A4AD1">
      <w:pPr>
        <w:jc w:val="left"/>
      </w:pPr>
    </w:p>
    <w:p w14:paraId="69AF36EA" w14:textId="77777777" w:rsidR="00331EEC" w:rsidRDefault="00331EEC" w:rsidP="009D3F22">
      <w:pPr>
        <w:pStyle w:val="Heading1"/>
      </w:pPr>
      <w:bookmarkStart w:id="12" w:name="_Toc536620130"/>
      <w:r>
        <w:t>PROJECTS AND ACTIVITIES</w:t>
      </w:r>
      <w:bookmarkEnd w:id="12"/>
    </w:p>
    <w:p w14:paraId="01DA8C5F" w14:textId="77777777" w:rsidR="00331EEC" w:rsidRPr="00C57EB7" w:rsidRDefault="00331EEC" w:rsidP="003A4AD1">
      <w:pPr>
        <w:spacing w:line="276" w:lineRule="auto"/>
        <w:jc w:val="left"/>
      </w:pPr>
      <w:r w:rsidRPr="000B181D">
        <w:rPr>
          <w:b/>
          <w:noProof/>
          <w:u w:val="single"/>
          <w:lang w:val="en-GB" w:eastAsia="en-GB"/>
        </w:rPr>
        <mc:AlternateContent>
          <mc:Choice Requires="wps">
            <w:drawing>
              <wp:anchor distT="0" distB="0" distL="114300" distR="114300" simplePos="0" relativeHeight="251659264" behindDoc="0" locked="0" layoutInCell="1" allowOverlap="1" wp14:anchorId="563A6090" wp14:editId="24E6C299">
                <wp:simplePos x="0" y="0"/>
                <wp:positionH relativeFrom="column">
                  <wp:posOffset>1905</wp:posOffset>
                </wp:positionH>
                <wp:positionV relativeFrom="paragraph">
                  <wp:posOffset>642620</wp:posOffset>
                </wp:positionV>
                <wp:extent cx="5715000" cy="901700"/>
                <wp:effectExtent l="50800" t="12700" r="63500" b="101600"/>
                <wp:wrapThrough wrapText="bothSides">
                  <wp:wrapPolygon edited="0">
                    <wp:start x="-96" y="-304"/>
                    <wp:lineTo x="-192" y="0"/>
                    <wp:lineTo x="-192" y="23425"/>
                    <wp:lineTo x="-96" y="23730"/>
                    <wp:lineTo x="21696" y="23730"/>
                    <wp:lineTo x="21792" y="19775"/>
                    <wp:lineTo x="21792" y="4868"/>
                    <wp:lineTo x="21696" y="304"/>
                    <wp:lineTo x="21696" y="-304"/>
                    <wp:lineTo x="-96" y="-304"/>
                  </wp:wrapPolygon>
                </wp:wrapThrough>
                <wp:docPr id="1" name="Rectangle 1"/>
                <wp:cNvGraphicFramePr/>
                <a:graphic xmlns:a="http://schemas.openxmlformats.org/drawingml/2006/main">
                  <a:graphicData uri="http://schemas.microsoft.com/office/word/2010/wordprocessingShape">
                    <wps:wsp>
                      <wps:cNvSpPr/>
                      <wps:spPr>
                        <a:xfrm>
                          <a:off x="0" y="0"/>
                          <a:ext cx="5715000" cy="901700"/>
                        </a:xfrm>
                        <a:prstGeom prst="rect">
                          <a:avLst/>
                        </a:prstGeom>
                        <a:solidFill>
                          <a:schemeClr val="accent2"/>
                        </a:solidFill>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ED6B21C" w14:textId="77777777" w:rsidR="00331EEC" w:rsidRPr="00FF3CEC" w:rsidRDefault="00331EEC" w:rsidP="00FF3CEC">
                            <w:pPr>
                              <w:spacing w:line="276" w:lineRule="auto"/>
                              <w:jc w:val="center"/>
                              <w:rPr>
                                <w:b/>
                                <w:color w:val="FFFFFF" w:themeColor="background1"/>
                                <w:sz w:val="32"/>
                                <w:szCs w:val="32"/>
                                <w:u w:val="single"/>
                              </w:rPr>
                            </w:pPr>
                            <w:r w:rsidRPr="00FF3CEC">
                              <w:rPr>
                                <w:b/>
                                <w:color w:val="FFFFFF" w:themeColor="background1"/>
                                <w:szCs w:val="24"/>
                              </w:rPr>
                              <w:t>AMSP</w:t>
                            </w:r>
                            <w:r w:rsidR="00FF3CEC" w:rsidRPr="00FF3CEC">
                              <w:rPr>
                                <w:b/>
                                <w:color w:val="FFFFFF" w:themeColor="background1"/>
                                <w:szCs w:val="24"/>
                              </w:rPr>
                              <w:t xml:space="preserve"> </w:t>
                            </w:r>
                            <w:r w:rsidRPr="00FF3CEC">
                              <w:rPr>
                                <w:b/>
                                <w:color w:val="FFFFFF" w:themeColor="background1"/>
                                <w:szCs w:val="24"/>
                              </w:rPr>
                              <w:t>Goal 1</w:t>
                            </w:r>
                            <w:r w:rsidR="00FF3CEC">
                              <w:rPr>
                                <w:b/>
                                <w:color w:val="FFFFFF" w:themeColor="background1"/>
                                <w:szCs w:val="24"/>
                              </w:rPr>
                              <w:t xml:space="preserve">: </w:t>
                            </w:r>
                            <w:r w:rsidRPr="00FF3CEC">
                              <w:rPr>
                                <w:b/>
                                <w:i/>
                                <w:color w:val="FFFFFF" w:themeColor="background1"/>
                                <w:szCs w:val="24"/>
                              </w:rPr>
                              <w:t xml:space="preserve">Improve knowledge of the Arctic marine </w:t>
                            </w:r>
                            <w:proofErr w:type="gramStart"/>
                            <w:r w:rsidRPr="00FF3CEC">
                              <w:rPr>
                                <w:b/>
                                <w:i/>
                                <w:color w:val="FFFFFF" w:themeColor="background1"/>
                                <w:szCs w:val="24"/>
                              </w:rPr>
                              <w:t>environment, and</w:t>
                            </w:r>
                            <w:proofErr w:type="gramEnd"/>
                            <w:r w:rsidRPr="00FF3CEC">
                              <w:rPr>
                                <w:b/>
                                <w:i/>
                                <w:color w:val="FFFFFF" w:themeColor="background1"/>
                                <w:szCs w:val="24"/>
                              </w:rPr>
                              <w:t xml:space="preserve"> continue to monitor and assess the current and future impacts on Arctic marine ecosystems.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A6090" id="Rectangle 1" o:spid="_x0000_s1026" style="position:absolute;margin-left:.15pt;margin-top:50.6pt;width:450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" fillcolor="#ed7d31 [3205]" strokecolor="black [3213]" strokeweight=".5pt">
                <v:shadow on="t" color="black" opacity="26214f" origin=",-.5" offset="0,3pt"/>
                <v:textbox>
                  <w:txbxContent>
                    <w:p w14:paraId="4ED6B21C" w14:textId="77777777" w:rsidR="00331EEC" w:rsidRPr="00FF3CEC" w:rsidRDefault="00331EEC" w:rsidP="00FF3CEC">
                      <w:pPr>
                        <w:spacing w:line="276" w:lineRule="auto"/>
                        <w:jc w:val="center"/>
                        <w:rPr>
                          <w:b/>
                          <w:color w:val="FFFFFF" w:themeColor="background1"/>
                          <w:sz w:val="32"/>
                          <w:szCs w:val="32"/>
                          <w:u w:val="single"/>
                        </w:rPr>
                      </w:pPr>
                      <w:r w:rsidRPr="00FF3CEC">
                        <w:rPr>
                          <w:b/>
                          <w:color w:val="FFFFFF" w:themeColor="background1"/>
                          <w:szCs w:val="24"/>
                        </w:rPr>
                        <w:t>AMSP</w:t>
                      </w:r>
                      <w:r w:rsidR="00FF3CEC" w:rsidRPr="00FF3CEC">
                        <w:rPr>
                          <w:b/>
                          <w:color w:val="FFFFFF" w:themeColor="background1"/>
                          <w:szCs w:val="24"/>
                        </w:rPr>
                        <w:t xml:space="preserve"> </w:t>
                      </w:r>
                      <w:r w:rsidRPr="00FF3CEC">
                        <w:rPr>
                          <w:b/>
                          <w:color w:val="FFFFFF" w:themeColor="background1"/>
                          <w:szCs w:val="24"/>
                        </w:rPr>
                        <w:t>Goal 1</w:t>
                      </w:r>
                      <w:r w:rsidR="00FF3CEC">
                        <w:rPr>
                          <w:b/>
                          <w:color w:val="FFFFFF" w:themeColor="background1"/>
                          <w:szCs w:val="24"/>
                        </w:rPr>
                        <w:t xml:space="preserve">: </w:t>
                      </w:r>
                      <w:r w:rsidRPr="00FF3CEC">
                        <w:rPr>
                          <w:b/>
                          <w:i/>
                          <w:color w:val="FFFFFF" w:themeColor="background1"/>
                          <w:szCs w:val="24"/>
                        </w:rPr>
                        <w:t xml:space="preserve">Improve knowledge of the Arctic marine </w:t>
                      </w:r>
                      <w:proofErr w:type="gramStart"/>
                      <w:r w:rsidRPr="00FF3CEC">
                        <w:rPr>
                          <w:b/>
                          <w:i/>
                          <w:color w:val="FFFFFF" w:themeColor="background1"/>
                          <w:szCs w:val="24"/>
                        </w:rPr>
                        <w:t>environment, and</w:t>
                      </w:r>
                      <w:proofErr w:type="gramEnd"/>
                      <w:r w:rsidRPr="00FF3CEC">
                        <w:rPr>
                          <w:b/>
                          <w:i/>
                          <w:color w:val="FFFFFF" w:themeColor="background1"/>
                          <w:szCs w:val="24"/>
                        </w:rPr>
                        <w:t xml:space="preserve"> continue to monitor and assess the current and future impacts on Arctic marine ecosystems.</w:t>
                      </w:r>
                    </w:p>
                  </w:txbxContent>
                </v:textbox>
                <w10:wrap type="through"/>
              </v:rect>
            </w:pict>
          </mc:Fallback>
        </mc:AlternateContent>
      </w:r>
      <w:r w:rsidRPr="00EE0679">
        <w:t>Additional project proposals may be developed within the scop</w:t>
      </w:r>
      <w:r>
        <w:t>e of this work plan between 2019</w:t>
      </w:r>
      <w:r w:rsidRPr="00EE0679">
        <w:t>-20</w:t>
      </w:r>
      <w:r>
        <w:t>21, subject to confirmed</w:t>
      </w:r>
      <w:r w:rsidRPr="00EE0679">
        <w:t xml:space="preserve"> lead/co-lead commitment</w:t>
      </w:r>
      <w:r>
        <w:t xml:space="preserve"> and financing.</w:t>
      </w:r>
    </w:p>
    <w:p w14:paraId="3847D86D" w14:textId="77777777" w:rsidR="00331EEC" w:rsidRDefault="00331EEC" w:rsidP="003A4AD1">
      <w:pPr>
        <w:spacing w:line="276" w:lineRule="auto"/>
        <w:jc w:val="left"/>
      </w:pPr>
      <w:r w:rsidRPr="004A0901">
        <w:rPr>
          <w:b/>
        </w:rPr>
        <w:t>BACKGROUND</w:t>
      </w:r>
      <w:r>
        <w:t>:</w:t>
      </w:r>
    </w:p>
    <w:p w14:paraId="3746A51E" w14:textId="77777777" w:rsidR="00331EEC" w:rsidRDefault="00331EEC" w:rsidP="003A4AD1">
      <w:pPr>
        <w:jc w:val="left"/>
      </w:pPr>
      <w:r w:rsidRPr="00A35B08">
        <w:t xml:space="preserve">There is increasing demand for reliable and pertinent information in the Arctic context, </w:t>
      </w:r>
      <w:r>
        <w:t xml:space="preserve">which will increase </w:t>
      </w:r>
      <w:r w:rsidRPr="00A35B08">
        <w:t xml:space="preserve">as the region </w:t>
      </w:r>
      <w:r>
        <w:t xml:space="preserve">undergoes </w:t>
      </w:r>
      <w:r w:rsidRPr="00A35B08">
        <w:t xml:space="preserve">more development </w:t>
      </w:r>
      <w:r>
        <w:t xml:space="preserve">with increased human activities </w:t>
      </w:r>
      <w:r w:rsidRPr="00A35B08">
        <w:t xml:space="preserve">and </w:t>
      </w:r>
      <w:r>
        <w:t xml:space="preserve">climatic </w:t>
      </w:r>
      <w:r w:rsidRPr="00A35B08">
        <w:t>change</w:t>
      </w:r>
      <w:r>
        <w:t>s</w:t>
      </w:r>
      <w:r w:rsidRPr="00A35B08">
        <w:t>.</w:t>
      </w:r>
      <w:r>
        <w:t xml:space="preserve">  </w:t>
      </w:r>
    </w:p>
    <w:p w14:paraId="2C39405F" w14:textId="77777777" w:rsidR="00331EEC" w:rsidRDefault="00331EEC" w:rsidP="003A4AD1">
      <w:pPr>
        <w:jc w:val="left"/>
      </w:pPr>
      <w:r>
        <w:t>The Arctic Council has proven to be an important provider of scientific-based assessments, taking into account traditional and local knowledge. I</w:t>
      </w:r>
      <w:r w:rsidRPr="000B37D2">
        <w:t xml:space="preserve">nformed policy </w:t>
      </w:r>
      <w:r>
        <w:t xml:space="preserve">decisions </w:t>
      </w:r>
      <w:r w:rsidRPr="000B37D2">
        <w:t xml:space="preserve">depend on </w:t>
      </w:r>
      <w:r>
        <w:t>improved understanding of the Arctic marine environment and drivers of change, attained through</w:t>
      </w:r>
      <w:r w:rsidRPr="000B37D2">
        <w:t xml:space="preserve"> accurate, accessible and foundational scientific data, such as topographic, hydrographic, oceanographic and meteorological information, and other marine spatial data, as well as </w:t>
      </w:r>
      <w:r>
        <w:t xml:space="preserve">traditional and local </w:t>
      </w:r>
      <w:r w:rsidRPr="000B37D2">
        <w:t>knowledge</w:t>
      </w:r>
      <w:r>
        <w:t xml:space="preserve">. </w:t>
      </w:r>
    </w:p>
    <w:p w14:paraId="2B675980" w14:textId="77777777" w:rsidR="008E31D7" w:rsidRDefault="008E31D7">
      <w:pPr>
        <w:spacing w:before="0" w:after="0"/>
        <w:jc w:val="left"/>
      </w:pPr>
      <w:r>
        <w:br w:type="page"/>
      </w:r>
    </w:p>
    <w:p w14:paraId="36E146F0" w14:textId="77777777" w:rsidR="00331EEC" w:rsidRDefault="00331EEC" w:rsidP="003A4AD1">
      <w:pPr>
        <w:jc w:val="left"/>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2"/>
        <w:gridCol w:w="4252"/>
        <w:gridCol w:w="2252"/>
      </w:tblGrid>
      <w:tr w:rsidR="00B4580D" w14:paraId="595B63DF" w14:textId="77777777" w:rsidTr="003656A2">
        <w:tc>
          <w:tcPr>
            <w:tcW w:w="9046" w:type="dxa"/>
            <w:gridSpan w:val="3"/>
            <w:tcBorders>
              <w:top w:val="single" w:sz="8" w:space="0" w:color="auto"/>
              <w:left w:val="single" w:sz="8" w:space="0" w:color="auto"/>
              <w:bottom w:val="single" w:sz="8" w:space="0" w:color="auto"/>
              <w:right w:val="single" w:sz="8" w:space="0" w:color="auto"/>
            </w:tcBorders>
            <w:shd w:val="clear" w:color="auto" w:fill="ED7D31" w:themeFill="accent2"/>
          </w:tcPr>
          <w:p w14:paraId="7B6B2AF1" w14:textId="77777777" w:rsidR="00B4580D" w:rsidRPr="003E1EDC" w:rsidRDefault="00B4580D" w:rsidP="00AE03C7">
            <w:pPr>
              <w:jc w:val="center"/>
              <w:rPr>
                <w:b/>
              </w:rPr>
            </w:pPr>
            <w:r w:rsidRPr="003E1EDC">
              <w:rPr>
                <w:b/>
                <w:color w:val="FFFFFF" w:themeColor="background1"/>
              </w:rPr>
              <w:t>Arctic Marine Shipping</w:t>
            </w:r>
          </w:p>
        </w:tc>
      </w:tr>
      <w:tr w:rsidR="00B4580D" w14:paraId="3B3B07F7" w14:textId="77777777" w:rsidTr="003656A2">
        <w:tc>
          <w:tcPr>
            <w:tcW w:w="2542" w:type="dxa"/>
            <w:tcBorders>
              <w:top w:val="single" w:sz="8" w:space="0" w:color="auto"/>
              <w:right w:val="nil"/>
            </w:tcBorders>
            <w:shd w:val="clear" w:color="auto" w:fill="F2F2F2" w:themeFill="background1" w:themeFillShade="F2"/>
          </w:tcPr>
          <w:p w14:paraId="221359D3" w14:textId="77777777" w:rsidR="00B4580D" w:rsidRDefault="00B4580D" w:rsidP="00AE03C7">
            <w:pPr>
              <w:jc w:val="center"/>
            </w:pPr>
            <w:r>
              <w:t>Project/activity</w:t>
            </w:r>
          </w:p>
        </w:tc>
        <w:tc>
          <w:tcPr>
            <w:tcW w:w="4252" w:type="dxa"/>
            <w:tcBorders>
              <w:top w:val="single" w:sz="8" w:space="0" w:color="auto"/>
              <w:left w:val="nil"/>
              <w:right w:val="nil"/>
            </w:tcBorders>
            <w:shd w:val="clear" w:color="auto" w:fill="F2F2F2" w:themeFill="background1" w:themeFillShade="F2"/>
          </w:tcPr>
          <w:p w14:paraId="5B69B823" w14:textId="77777777" w:rsidR="00B4580D" w:rsidRDefault="00B4580D" w:rsidP="00AE03C7">
            <w:pPr>
              <w:jc w:val="center"/>
            </w:pPr>
            <w:r>
              <w:t>Description</w:t>
            </w:r>
          </w:p>
        </w:tc>
        <w:tc>
          <w:tcPr>
            <w:tcW w:w="2252" w:type="dxa"/>
            <w:tcBorders>
              <w:top w:val="single" w:sz="8" w:space="0" w:color="auto"/>
              <w:left w:val="nil"/>
            </w:tcBorders>
            <w:shd w:val="clear" w:color="auto" w:fill="F2F2F2" w:themeFill="background1" w:themeFillShade="F2"/>
          </w:tcPr>
          <w:p w14:paraId="01C9F14F" w14:textId="77777777" w:rsidR="00B4580D" w:rsidRDefault="00B4580D" w:rsidP="00AE03C7">
            <w:pPr>
              <w:jc w:val="center"/>
            </w:pPr>
            <w:r w:rsidRPr="00B4580D">
              <w:t>Lead(s) and partners</w:t>
            </w:r>
          </w:p>
        </w:tc>
      </w:tr>
      <w:tr w:rsidR="00B4580D" w14:paraId="0AA9D3BB" w14:textId="77777777" w:rsidTr="000C3D94">
        <w:tc>
          <w:tcPr>
            <w:tcW w:w="2542" w:type="dxa"/>
          </w:tcPr>
          <w:p w14:paraId="31131768" w14:textId="59E8FBD7" w:rsidR="00FF3CEC" w:rsidRDefault="00817CB9" w:rsidP="003D48DD">
            <w:pPr>
              <w:jc w:val="left"/>
              <w:rPr>
                <w:i/>
                <w:szCs w:val="24"/>
              </w:rPr>
            </w:pPr>
            <w:r w:rsidRPr="002E028D">
              <w:rPr>
                <w:rFonts w:ascii="Calibri" w:hAnsi="Calibri"/>
                <w:b/>
              </w:rPr>
              <w:t>Black carbon mitigation measures from shipping in the Arctic</w:t>
            </w:r>
            <w:r>
              <w:rPr>
                <w:rFonts w:ascii="Calibri" w:hAnsi="Calibri"/>
                <w:b/>
              </w:rPr>
              <w:t xml:space="preserve">: </w:t>
            </w:r>
            <w:r w:rsidRPr="00890130">
              <w:rPr>
                <w:rFonts w:ascii="Calibri" w:hAnsi="Calibri"/>
              </w:rPr>
              <w:t>Fuel and Exhaust Gas Treatment for Marine Diesel Engines – Summary Report</w:t>
            </w:r>
            <w:r w:rsidRPr="00341109">
              <w:rPr>
                <w:rFonts w:ascii="Calibri" w:hAnsi="Calibri"/>
                <w:b/>
              </w:rPr>
              <w:t xml:space="preserve"> </w:t>
            </w:r>
          </w:p>
          <w:p w14:paraId="4475B69D" w14:textId="77777777" w:rsidR="00FF3CEC" w:rsidRPr="00C006DF" w:rsidRDefault="00FF3CEC" w:rsidP="003D48DD">
            <w:pPr>
              <w:jc w:val="left"/>
              <w:rPr>
                <w:i/>
                <w:szCs w:val="24"/>
              </w:rPr>
            </w:pPr>
            <w:r w:rsidRPr="00C006DF">
              <w:rPr>
                <w:i/>
                <w:szCs w:val="24"/>
              </w:rPr>
              <w:t>(Annex I)</w:t>
            </w:r>
          </w:p>
        </w:tc>
        <w:tc>
          <w:tcPr>
            <w:tcW w:w="4252" w:type="dxa"/>
          </w:tcPr>
          <w:p w14:paraId="511895E8" w14:textId="03A3306A" w:rsidR="00890130" w:rsidRDefault="00890130" w:rsidP="00AD6782">
            <w:r w:rsidRPr="00A37D32">
              <w:t xml:space="preserve">The objective of this project is </w:t>
            </w:r>
            <w:r>
              <w:t>to strengthen harmonization and foster</w:t>
            </w:r>
            <w:r w:rsidRPr="00A37D32">
              <w:t xml:space="preserve"> dialogue and cooperation between the Arctic Council member states</w:t>
            </w:r>
            <w:r>
              <w:t>, Permanent Participants</w:t>
            </w:r>
            <w:r w:rsidRPr="00A37D32">
              <w:t xml:space="preserve"> and Arctic Council Observers on research on </w:t>
            </w:r>
            <w:r>
              <w:t xml:space="preserve">various fuel and exhaust gas treatment methods as </w:t>
            </w:r>
            <w:r w:rsidRPr="00A37D32">
              <w:t xml:space="preserve">possible means by which to reduce the amount of harmful gases emitted by </w:t>
            </w:r>
            <w:r>
              <w:t>vessel engines.</w:t>
            </w:r>
          </w:p>
        </w:tc>
        <w:tc>
          <w:tcPr>
            <w:tcW w:w="2252" w:type="dxa"/>
          </w:tcPr>
          <w:p w14:paraId="373BC2B8" w14:textId="77777777" w:rsidR="00B4580D" w:rsidRPr="00A71FB8" w:rsidRDefault="00BB297E" w:rsidP="003A4AD1">
            <w:pPr>
              <w:jc w:val="left"/>
              <w:rPr>
                <w:i/>
              </w:rPr>
            </w:pPr>
            <w:r w:rsidRPr="00A71FB8">
              <w:rPr>
                <w:i/>
              </w:rPr>
              <w:t>Iceland</w:t>
            </w:r>
            <w:r w:rsidR="00FF3CEC">
              <w:rPr>
                <w:i/>
              </w:rPr>
              <w:t xml:space="preserve">, </w:t>
            </w:r>
            <w:r w:rsidR="00FF3CEC" w:rsidRPr="00FF3CEC">
              <w:rPr>
                <w:i/>
                <w:highlight w:val="yellow"/>
              </w:rPr>
              <w:t>others?</w:t>
            </w:r>
          </w:p>
        </w:tc>
      </w:tr>
      <w:tr w:rsidR="00B4580D" w14:paraId="6B41D841" w14:textId="77777777" w:rsidTr="000C3D94">
        <w:tc>
          <w:tcPr>
            <w:tcW w:w="2542" w:type="dxa"/>
          </w:tcPr>
          <w:p w14:paraId="302C59F7" w14:textId="3B4A3924" w:rsidR="00B4580D" w:rsidRDefault="001356A2" w:rsidP="003A4AD1">
            <w:pPr>
              <w:jc w:val="left"/>
              <w:rPr>
                <w:b/>
              </w:rPr>
            </w:pPr>
            <w:r w:rsidRPr="001356A2">
              <w:rPr>
                <w:b/>
              </w:rPr>
              <w:t>Arctic Shipping</w:t>
            </w:r>
            <w:r w:rsidR="00B5087F">
              <w:rPr>
                <w:b/>
              </w:rPr>
              <w:t xml:space="preserve"> Status</w:t>
            </w:r>
            <w:r w:rsidRPr="001356A2">
              <w:rPr>
                <w:b/>
              </w:rPr>
              <w:t xml:space="preserve"> Report</w:t>
            </w:r>
            <w:r w:rsidR="001B52A1">
              <w:rPr>
                <w:b/>
              </w:rPr>
              <w:t>s</w:t>
            </w:r>
          </w:p>
          <w:p w14:paraId="308438F1" w14:textId="77777777" w:rsidR="00FF3CEC" w:rsidRPr="00C006DF" w:rsidRDefault="00FF3CEC" w:rsidP="003A4AD1">
            <w:pPr>
              <w:jc w:val="left"/>
              <w:rPr>
                <w:i/>
              </w:rPr>
            </w:pPr>
            <w:r w:rsidRPr="00C006DF">
              <w:rPr>
                <w:i/>
              </w:rPr>
              <w:t>(Annex II)</w:t>
            </w:r>
          </w:p>
        </w:tc>
        <w:tc>
          <w:tcPr>
            <w:tcW w:w="4252" w:type="dxa"/>
          </w:tcPr>
          <w:p w14:paraId="5B8931B8" w14:textId="2DD2525F" w:rsidR="00B4580D" w:rsidRPr="00AD6782" w:rsidRDefault="00B5087F" w:rsidP="00AD6782">
            <w:pPr>
              <w:rPr>
                <w:lang w:val="sv-SE"/>
              </w:rPr>
            </w:pPr>
            <w:r w:rsidRPr="00B5087F">
              <w:rPr>
                <w:iCs/>
                <w:lang w:val="sv-SE"/>
              </w:rPr>
              <w:t xml:space="preserve">The </w:t>
            </w:r>
            <w:proofErr w:type="spellStart"/>
            <w:r w:rsidRPr="00B5087F">
              <w:rPr>
                <w:iCs/>
                <w:lang w:val="sv-SE"/>
              </w:rPr>
              <w:t>project</w:t>
            </w:r>
            <w:proofErr w:type="spellEnd"/>
            <w:r w:rsidRPr="00B5087F">
              <w:rPr>
                <w:iCs/>
                <w:lang w:val="sv-SE"/>
              </w:rPr>
              <w:t xml:space="preserve"> </w:t>
            </w:r>
            <w:proofErr w:type="spellStart"/>
            <w:r w:rsidR="001B52A1">
              <w:rPr>
                <w:iCs/>
                <w:lang w:val="sv-SE"/>
              </w:rPr>
              <w:t>will</w:t>
            </w:r>
            <w:proofErr w:type="spellEnd"/>
            <w:r w:rsidR="001B52A1">
              <w:rPr>
                <w:iCs/>
                <w:lang w:val="sv-SE"/>
              </w:rPr>
              <w:t xml:space="preserve"> </w:t>
            </w:r>
            <w:r w:rsidR="001B52A1">
              <w:rPr>
                <w:lang w:val="is-IS"/>
              </w:rPr>
              <w:t>u</w:t>
            </w:r>
            <w:r w:rsidR="001B52A1" w:rsidRPr="00341109">
              <w:rPr>
                <w:lang w:val="is-IS"/>
              </w:rPr>
              <w:t>tilize the A</w:t>
            </w:r>
            <w:r w:rsidR="001B52A1">
              <w:rPr>
                <w:lang w:val="is-IS"/>
              </w:rPr>
              <w:t xml:space="preserve">rctic </w:t>
            </w:r>
            <w:r w:rsidR="001B52A1" w:rsidRPr="00341109">
              <w:rPr>
                <w:lang w:val="is-IS"/>
              </w:rPr>
              <w:t>S</w:t>
            </w:r>
            <w:r w:rsidR="001B52A1">
              <w:rPr>
                <w:lang w:val="is-IS"/>
              </w:rPr>
              <w:t xml:space="preserve">hipping Traffic </w:t>
            </w:r>
            <w:r w:rsidR="001B52A1" w:rsidRPr="00341109">
              <w:rPr>
                <w:lang w:val="is-IS"/>
              </w:rPr>
              <w:t>D</w:t>
            </w:r>
            <w:r w:rsidR="001B52A1">
              <w:rPr>
                <w:lang w:val="is-IS"/>
              </w:rPr>
              <w:t>atabase (ASTD)</w:t>
            </w:r>
            <w:r w:rsidR="001B52A1" w:rsidRPr="00341109">
              <w:rPr>
                <w:lang w:val="is-IS"/>
              </w:rPr>
              <w:t xml:space="preserve"> System to develop a user-friendly, illustrative informational factsheets online on Arctic shipping through e.g. the producing of a number of Story maps to highlight interesting aspects of Arctic shipping activities – or by other means to be decided by the project team.</w:t>
            </w:r>
          </w:p>
        </w:tc>
        <w:tc>
          <w:tcPr>
            <w:tcW w:w="2252" w:type="dxa"/>
          </w:tcPr>
          <w:p w14:paraId="39453437" w14:textId="77777777" w:rsidR="00B4580D" w:rsidRPr="00A71FB8" w:rsidRDefault="00947B03" w:rsidP="003A4AD1">
            <w:pPr>
              <w:jc w:val="left"/>
              <w:rPr>
                <w:i/>
              </w:rPr>
            </w:pPr>
            <w:r w:rsidRPr="00A71FB8">
              <w:rPr>
                <w:i/>
              </w:rPr>
              <w:t>Norway (tbc), USA (tbc)</w:t>
            </w:r>
          </w:p>
          <w:p w14:paraId="2EF0E9B0" w14:textId="77777777" w:rsidR="00947B03" w:rsidRPr="00A71FB8" w:rsidRDefault="00947B03" w:rsidP="003A4AD1">
            <w:pPr>
              <w:jc w:val="left"/>
              <w:rPr>
                <w:i/>
              </w:rPr>
            </w:pPr>
            <w:r w:rsidRPr="00A71FB8">
              <w:rPr>
                <w:i/>
              </w:rPr>
              <w:t>PAME Secretariat</w:t>
            </w:r>
          </w:p>
        </w:tc>
      </w:tr>
      <w:tr w:rsidR="00947B03" w14:paraId="36216F52" w14:textId="77777777" w:rsidTr="000C3D94">
        <w:tc>
          <w:tcPr>
            <w:tcW w:w="2542" w:type="dxa"/>
          </w:tcPr>
          <w:p w14:paraId="4D9065B5" w14:textId="725CCB61" w:rsidR="00C006DF" w:rsidRDefault="00947B03" w:rsidP="003A4AD1">
            <w:pPr>
              <w:jc w:val="left"/>
              <w:rPr>
                <w:b/>
              </w:rPr>
            </w:pPr>
            <w:r w:rsidRPr="00947B03">
              <w:rPr>
                <w:b/>
              </w:rPr>
              <w:t>Environmental toxicity and fate of light and intermediate fuel when spilled in cold waters</w:t>
            </w:r>
          </w:p>
          <w:p w14:paraId="379AABB8" w14:textId="77777777" w:rsidR="00C006DF" w:rsidRPr="00C006DF" w:rsidRDefault="00C006DF" w:rsidP="003A4AD1">
            <w:pPr>
              <w:jc w:val="left"/>
              <w:rPr>
                <w:i/>
              </w:rPr>
            </w:pPr>
            <w:r w:rsidRPr="00C006DF">
              <w:rPr>
                <w:i/>
              </w:rPr>
              <w:t>(Annex III)</w:t>
            </w:r>
          </w:p>
        </w:tc>
        <w:tc>
          <w:tcPr>
            <w:tcW w:w="4252" w:type="dxa"/>
          </w:tcPr>
          <w:p w14:paraId="63BEEA93" w14:textId="542DFEDF" w:rsidR="000A1E8A" w:rsidRDefault="00510D06" w:rsidP="00AD6782">
            <w:r w:rsidRPr="00510D06">
              <w:t>T</w:t>
            </w:r>
            <w:r>
              <w:t>he objective of the project is to g</w:t>
            </w:r>
            <w:r w:rsidRPr="00510D06">
              <w:t xml:space="preserve">ather knowledge and describe reasons for the large variation in environmental toxicity of light and intermediate fuel oil. This is a joint project proposal between PAME and EPPR.  </w:t>
            </w:r>
          </w:p>
        </w:tc>
        <w:tc>
          <w:tcPr>
            <w:tcW w:w="2252" w:type="dxa"/>
          </w:tcPr>
          <w:p w14:paraId="2E3A039D" w14:textId="77777777" w:rsidR="00947B03" w:rsidRPr="00A71FB8" w:rsidRDefault="002F071B" w:rsidP="003A4AD1">
            <w:pPr>
              <w:jc w:val="left"/>
              <w:rPr>
                <w:i/>
              </w:rPr>
            </w:pPr>
            <w:r w:rsidRPr="00A71FB8">
              <w:rPr>
                <w:i/>
              </w:rPr>
              <w:t>Norway</w:t>
            </w:r>
          </w:p>
          <w:p w14:paraId="02A95B55" w14:textId="77777777" w:rsidR="002F071B" w:rsidRPr="00A71FB8" w:rsidRDefault="002F071B" w:rsidP="003A4AD1">
            <w:pPr>
              <w:jc w:val="left"/>
              <w:rPr>
                <w:i/>
              </w:rPr>
            </w:pPr>
            <w:r w:rsidRPr="00A71FB8">
              <w:rPr>
                <w:i/>
              </w:rPr>
              <w:t>Working group partner: EPPR (joint project)</w:t>
            </w:r>
          </w:p>
        </w:tc>
      </w:tr>
      <w:tr w:rsidR="002C1C70" w14:paraId="7504639A" w14:textId="77777777" w:rsidTr="000C3D94">
        <w:tc>
          <w:tcPr>
            <w:tcW w:w="2542" w:type="dxa"/>
          </w:tcPr>
          <w:p w14:paraId="07D05188" w14:textId="67520364" w:rsidR="009D3AF4" w:rsidRDefault="009D3AF4" w:rsidP="003A4AD1">
            <w:pPr>
              <w:jc w:val="left"/>
              <w:rPr>
                <w:i/>
              </w:rPr>
            </w:pPr>
            <w:r w:rsidRPr="00341109">
              <w:rPr>
                <w:rFonts w:ascii="Calibri" w:hAnsi="Calibri"/>
                <w:b/>
              </w:rPr>
              <w:t xml:space="preserve">Arctic Marine Tourism: </w:t>
            </w:r>
            <w:r>
              <w:rPr>
                <w:rFonts w:ascii="Calibri" w:hAnsi="Calibri"/>
                <w:b/>
              </w:rPr>
              <w:t xml:space="preserve">Shipping analysis and </w:t>
            </w:r>
            <w:proofErr w:type="gramStart"/>
            <w:r w:rsidRPr="00341109">
              <w:rPr>
                <w:rFonts w:ascii="Calibri" w:hAnsi="Calibri"/>
                <w:b/>
              </w:rPr>
              <w:t>Site specific</w:t>
            </w:r>
            <w:proofErr w:type="gramEnd"/>
            <w:r w:rsidRPr="00341109">
              <w:rPr>
                <w:rFonts w:ascii="Calibri" w:hAnsi="Calibri"/>
                <w:b/>
              </w:rPr>
              <w:t xml:space="preserve"> guidelines </w:t>
            </w:r>
          </w:p>
          <w:p w14:paraId="0DFC3D49" w14:textId="1E38E5B0" w:rsidR="00FF3CEC" w:rsidRPr="00947B03" w:rsidRDefault="00C006DF" w:rsidP="003A4AD1">
            <w:pPr>
              <w:jc w:val="left"/>
              <w:rPr>
                <w:b/>
              </w:rPr>
            </w:pPr>
            <w:r w:rsidRPr="00C006DF">
              <w:rPr>
                <w:i/>
              </w:rPr>
              <w:t>(A</w:t>
            </w:r>
            <w:r>
              <w:rPr>
                <w:i/>
              </w:rPr>
              <w:t>nnex IV</w:t>
            </w:r>
            <w:r w:rsidRPr="00C006DF">
              <w:rPr>
                <w:i/>
              </w:rPr>
              <w:t>)</w:t>
            </w:r>
          </w:p>
        </w:tc>
        <w:tc>
          <w:tcPr>
            <w:tcW w:w="4252" w:type="dxa"/>
          </w:tcPr>
          <w:p w14:paraId="2974DC3E" w14:textId="582CEEC2" w:rsidR="009D3AF4" w:rsidRDefault="000A1E8A" w:rsidP="00AD6782">
            <w:r w:rsidRPr="000A1E8A">
              <w:rPr>
                <w:lang w:eastAsia="is-IS"/>
              </w:rPr>
              <w:t>The overarching</w:t>
            </w:r>
            <w:r w:rsidR="009D3AF4">
              <w:rPr>
                <w:lang w:eastAsia="is-IS"/>
              </w:rPr>
              <w:t xml:space="preserve"> objective is to </w:t>
            </w:r>
            <w:r w:rsidR="009D3AF4">
              <w:t>gather</w:t>
            </w:r>
            <w:r w:rsidR="009D3AF4" w:rsidRPr="00C9794B">
              <w:t xml:space="preserve"> knowledge on the status, trends and challenges in Ar</w:t>
            </w:r>
            <w:r w:rsidR="009D3AF4">
              <w:t>c</w:t>
            </w:r>
            <w:r w:rsidR="009D3AF4" w:rsidRPr="00C9794B">
              <w:t>tic marine tourism and assess the need for best practices guidelines in support of existing site- specific guidelines.</w:t>
            </w:r>
          </w:p>
          <w:p w14:paraId="033202BB" w14:textId="77777777" w:rsidR="009D3AF4" w:rsidRPr="00804119" w:rsidRDefault="009D3AF4" w:rsidP="00AD6782">
            <w:r w:rsidRPr="00804119">
              <w:t xml:space="preserve">This project will contribute to the following </w:t>
            </w:r>
            <w:hyperlink r:id="rId8" w:history="1">
              <w:r w:rsidRPr="0004551A">
                <w:rPr>
                  <w:rStyle w:val="Hyperlink"/>
                </w:rPr>
                <w:t>Arctic Marine Tourism Project – Best Practice Guidelines document (AMTP</w:t>
              </w:r>
              <w:r>
                <w:rPr>
                  <w:rStyle w:val="Hyperlink"/>
                </w:rPr>
                <w:t xml:space="preserve"> 2015</w:t>
              </w:r>
              <w:r w:rsidRPr="0004551A">
                <w:rPr>
                  <w:rStyle w:val="Hyperlink"/>
                </w:rPr>
                <w:t>)</w:t>
              </w:r>
            </w:hyperlink>
            <w:r>
              <w:t xml:space="preserve"> </w:t>
            </w:r>
            <w:r w:rsidRPr="00804119">
              <w:t>recommendations:</w:t>
            </w:r>
          </w:p>
          <w:p w14:paraId="309F68FF" w14:textId="77777777" w:rsidR="009D3AF4" w:rsidRPr="00CC298A" w:rsidRDefault="009D3AF4" w:rsidP="00CC298A">
            <w:pPr>
              <w:pStyle w:val="ListParagraph"/>
              <w:numPr>
                <w:ilvl w:val="0"/>
                <w:numId w:val="9"/>
              </w:numPr>
              <w:ind w:left="357" w:hanging="357"/>
              <w:contextualSpacing w:val="0"/>
            </w:pPr>
            <w:r w:rsidRPr="00CC298A">
              <w:t>Compile a publicly available repository of circum-Arctic marine tourism information.</w:t>
            </w:r>
          </w:p>
          <w:p w14:paraId="2DC7F086" w14:textId="469F0B5D" w:rsidR="002C1C70" w:rsidRPr="00AD6782" w:rsidRDefault="009D3AF4" w:rsidP="00CC298A">
            <w:pPr>
              <w:pStyle w:val="ListParagraph"/>
              <w:numPr>
                <w:ilvl w:val="0"/>
                <w:numId w:val="9"/>
              </w:numPr>
              <w:ind w:left="357" w:hanging="357"/>
              <w:contextualSpacing w:val="0"/>
              <w:rPr>
                <w:i/>
              </w:rPr>
            </w:pPr>
            <w:r w:rsidRPr="00CC298A">
              <w:lastRenderedPageBreak/>
              <w:t>Develop a standardized framework for, and encourage the preparation of, site-specific guidelines for near-shore and coastal areas of the Arctic visited by passengers of marine tourism vessels and pleasure craft.</w:t>
            </w:r>
          </w:p>
        </w:tc>
        <w:tc>
          <w:tcPr>
            <w:tcW w:w="2252" w:type="dxa"/>
          </w:tcPr>
          <w:p w14:paraId="6A630D5C" w14:textId="77777777" w:rsidR="002C1C70" w:rsidRPr="00A71FB8" w:rsidRDefault="00B64EE5" w:rsidP="003A4AD1">
            <w:pPr>
              <w:jc w:val="left"/>
              <w:rPr>
                <w:i/>
              </w:rPr>
            </w:pPr>
            <w:r w:rsidRPr="00A71FB8">
              <w:rPr>
                <w:i/>
              </w:rPr>
              <w:lastRenderedPageBreak/>
              <w:t>Iceland</w:t>
            </w:r>
            <w:r w:rsidR="00933977">
              <w:rPr>
                <w:i/>
              </w:rPr>
              <w:t xml:space="preserve">, </w:t>
            </w:r>
            <w:r w:rsidR="00933977" w:rsidRPr="00933977">
              <w:rPr>
                <w:i/>
                <w:highlight w:val="yellow"/>
              </w:rPr>
              <w:t>others (TBC)</w:t>
            </w:r>
          </w:p>
        </w:tc>
      </w:tr>
      <w:tr w:rsidR="00E863BE" w14:paraId="14F9E9CD" w14:textId="77777777" w:rsidTr="000C3D94">
        <w:tc>
          <w:tcPr>
            <w:tcW w:w="2542" w:type="dxa"/>
          </w:tcPr>
          <w:p w14:paraId="4A4FFDC4" w14:textId="6CF34CB6" w:rsidR="00C006DF" w:rsidRDefault="00D81F3B" w:rsidP="003A4AD1">
            <w:pPr>
              <w:jc w:val="left"/>
              <w:rPr>
                <w:b/>
              </w:rPr>
            </w:pPr>
            <w:r w:rsidRPr="00D81F3B">
              <w:rPr>
                <w:b/>
              </w:rPr>
              <w:t>PAME-ARHC Memorandum of Understanding</w:t>
            </w:r>
          </w:p>
          <w:p w14:paraId="79C714C7" w14:textId="77777777" w:rsidR="00C006DF" w:rsidRPr="009A5331" w:rsidRDefault="00C006DF" w:rsidP="003A4AD1">
            <w:pPr>
              <w:jc w:val="left"/>
              <w:rPr>
                <w:b/>
              </w:rPr>
            </w:pPr>
            <w:r w:rsidRPr="00C006DF">
              <w:rPr>
                <w:i/>
              </w:rPr>
              <w:t>(A</w:t>
            </w:r>
            <w:r>
              <w:rPr>
                <w:i/>
              </w:rPr>
              <w:t>nnex V</w:t>
            </w:r>
            <w:r w:rsidRPr="00C006DF">
              <w:rPr>
                <w:i/>
              </w:rPr>
              <w:t>)</w:t>
            </w:r>
          </w:p>
        </w:tc>
        <w:tc>
          <w:tcPr>
            <w:tcW w:w="4252" w:type="dxa"/>
          </w:tcPr>
          <w:p w14:paraId="6575088F" w14:textId="20D2A908" w:rsidR="00E863BE" w:rsidRPr="00DA049B" w:rsidRDefault="00D81F3B" w:rsidP="00AD6782">
            <w:r w:rsidRPr="00D81F3B">
              <w:t xml:space="preserve">The objective is to formalize </w:t>
            </w:r>
            <w:r w:rsidR="009D3AF4" w:rsidRPr="00B357FF">
              <w:t>the relationship between PAME and ARHC through a non-binding memorandum of understanding (MOU) would encourage more frequent exchanges of information. The objective of such an MOU would be to foster greater communication between the two organizations and enhance coordination on projects of mutual interest. Though the MOU would not be legally binding, it would allow each body to leverage the expertise of the other in order to develop a unified strategy for improving hydrographic charts and surveys in the Arctic.</w:t>
            </w:r>
          </w:p>
        </w:tc>
        <w:tc>
          <w:tcPr>
            <w:tcW w:w="2252" w:type="dxa"/>
          </w:tcPr>
          <w:p w14:paraId="55D62FF0" w14:textId="77777777" w:rsidR="00E863BE" w:rsidRPr="00A71FB8" w:rsidRDefault="00A71FB8" w:rsidP="003A4AD1">
            <w:pPr>
              <w:jc w:val="left"/>
              <w:rPr>
                <w:i/>
              </w:rPr>
            </w:pPr>
            <w:r>
              <w:rPr>
                <w:i/>
              </w:rPr>
              <w:t xml:space="preserve">USA, </w:t>
            </w:r>
            <w:r w:rsidR="00D81F3B" w:rsidRPr="00A71FB8">
              <w:rPr>
                <w:i/>
              </w:rPr>
              <w:t>Canada</w:t>
            </w:r>
          </w:p>
        </w:tc>
      </w:tr>
      <w:tr w:rsidR="007D1726" w14:paraId="5260C8E5" w14:textId="77777777" w:rsidTr="000C3D94">
        <w:tc>
          <w:tcPr>
            <w:tcW w:w="2542" w:type="dxa"/>
          </w:tcPr>
          <w:p w14:paraId="536C3D66" w14:textId="638BB3DB" w:rsidR="00D57EA1" w:rsidRPr="00FF7E8B" w:rsidRDefault="00D57EA1" w:rsidP="003A4AD1">
            <w:pPr>
              <w:jc w:val="left"/>
              <w:rPr>
                <w:b/>
              </w:rPr>
            </w:pPr>
            <w:r w:rsidRPr="00AA4544">
              <w:rPr>
                <w:rFonts w:ascii="Calibri" w:hAnsi="Calibri"/>
                <w:b/>
              </w:rPr>
              <w:t xml:space="preserve">Underwater Noise in the Arctic – Understanding Impacts and Defining Management </w:t>
            </w:r>
            <w:proofErr w:type="gramStart"/>
            <w:r w:rsidRPr="00AA4544">
              <w:rPr>
                <w:rFonts w:ascii="Calibri" w:hAnsi="Calibri"/>
                <w:b/>
              </w:rPr>
              <w:t>Solutions</w:t>
            </w:r>
            <w:r w:rsidRPr="00AA4544" w:rsidDel="00AA4544">
              <w:rPr>
                <w:rFonts w:ascii="Calibri" w:hAnsi="Calibri"/>
                <w:b/>
              </w:rPr>
              <w:t xml:space="preserve"> </w:t>
            </w:r>
            <w:r>
              <w:rPr>
                <w:rFonts w:ascii="Calibri" w:hAnsi="Calibri"/>
                <w:b/>
              </w:rPr>
              <w:t xml:space="preserve"> -</w:t>
            </w:r>
            <w:proofErr w:type="gramEnd"/>
            <w:r>
              <w:rPr>
                <w:rFonts w:ascii="Calibri" w:hAnsi="Calibri"/>
                <w:b/>
              </w:rPr>
              <w:t xml:space="preserve"> Phase I </w:t>
            </w:r>
          </w:p>
          <w:p w14:paraId="3AC89AF4" w14:textId="1B6D174F" w:rsidR="00FF3CEC" w:rsidRPr="00AD6782" w:rsidRDefault="00C006DF" w:rsidP="003A4AD1">
            <w:pPr>
              <w:jc w:val="left"/>
              <w:rPr>
                <w:i/>
              </w:rPr>
            </w:pPr>
            <w:r w:rsidRPr="00C006DF">
              <w:rPr>
                <w:i/>
              </w:rPr>
              <w:t>(A</w:t>
            </w:r>
            <w:r>
              <w:rPr>
                <w:i/>
              </w:rPr>
              <w:t>nnex VI</w:t>
            </w:r>
            <w:r w:rsidRPr="00C006DF">
              <w:rPr>
                <w:i/>
              </w:rPr>
              <w:t>)</w:t>
            </w:r>
          </w:p>
        </w:tc>
        <w:tc>
          <w:tcPr>
            <w:tcW w:w="4252" w:type="dxa"/>
          </w:tcPr>
          <w:p w14:paraId="1EAE14DA" w14:textId="77777777" w:rsidR="00D57EA1" w:rsidRDefault="00D57EA1" w:rsidP="00D57EA1">
            <w:pPr>
              <w:rPr>
                <w:rFonts w:cstheme="minorHAnsi"/>
              </w:rPr>
            </w:pPr>
            <w:r>
              <w:rPr>
                <w:rFonts w:cstheme="minorHAnsi"/>
              </w:rPr>
              <w:t xml:space="preserve">Using </w:t>
            </w:r>
            <w:r w:rsidRPr="000139B8">
              <w:rPr>
                <w:rFonts w:cstheme="minorHAnsi"/>
              </w:rPr>
              <w:t>information from the PAME</w:t>
            </w:r>
            <w:r>
              <w:rPr>
                <w:rFonts w:cstheme="minorHAnsi"/>
              </w:rPr>
              <w:t>’s</w:t>
            </w:r>
            <w:r w:rsidRPr="000139B8">
              <w:rPr>
                <w:rFonts w:cstheme="minorHAnsi"/>
              </w:rPr>
              <w:t xml:space="preserve"> Arctic Ship </w:t>
            </w:r>
            <w:r>
              <w:rPr>
                <w:rFonts w:cstheme="minorHAnsi"/>
              </w:rPr>
              <w:t>Traffic</w:t>
            </w:r>
            <w:r w:rsidRPr="000139B8">
              <w:rPr>
                <w:rFonts w:cstheme="minorHAnsi"/>
              </w:rPr>
              <w:t xml:space="preserve"> Data (ASTD) project</w:t>
            </w:r>
            <w:r>
              <w:rPr>
                <w:rFonts w:cstheme="minorHAnsi"/>
              </w:rPr>
              <w:t>, and in collaboration with CAFF as appropriate, to:</w:t>
            </w:r>
          </w:p>
          <w:p w14:paraId="1762B8C7" w14:textId="77777777" w:rsidR="00D57EA1" w:rsidRPr="00B357FF" w:rsidRDefault="00D57EA1" w:rsidP="00CC298A">
            <w:pPr>
              <w:pStyle w:val="ListParagraph"/>
              <w:numPr>
                <w:ilvl w:val="0"/>
                <w:numId w:val="10"/>
              </w:numPr>
              <w:ind w:left="357" w:hanging="357"/>
              <w:contextualSpacing w:val="0"/>
              <w:rPr>
                <w:rFonts w:cstheme="minorHAnsi"/>
              </w:rPr>
            </w:pPr>
            <w:r w:rsidRPr="00B357FF">
              <w:rPr>
                <w:rFonts w:cstheme="minorHAnsi"/>
              </w:rPr>
              <w:t xml:space="preserve">Obtain a better understanding </w:t>
            </w:r>
            <w:proofErr w:type="gramStart"/>
            <w:r w:rsidRPr="00B357FF">
              <w:rPr>
                <w:rFonts w:cstheme="minorHAnsi"/>
              </w:rPr>
              <w:t>of, and</w:t>
            </w:r>
            <w:proofErr w:type="gramEnd"/>
            <w:r w:rsidRPr="00B357FF">
              <w:rPr>
                <w:rFonts w:cstheme="minorHAnsi"/>
              </w:rPr>
              <w:t xml:space="preserve"> estimate the current underwater noise emissions) or ‘</w:t>
            </w:r>
            <w:proofErr w:type="spellStart"/>
            <w:r w:rsidRPr="00B357FF">
              <w:rPr>
                <w:rFonts w:cstheme="minorHAnsi"/>
              </w:rPr>
              <w:t>noiseprint</w:t>
            </w:r>
            <w:proofErr w:type="spellEnd"/>
            <w:r w:rsidRPr="00B357FF">
              <w:rPr>
                <w:rFonts w:cstheme="minorHAnsi"/>
              </w:rPr>
              <w:t>’) from shipping in the Arctic.</w:t>
            </w:r>
          </w:p>
          <w:p w14:paraId="41576C01" w14:textId="77777777" w:rsidR="00D57EA1" w:rsidRDefault="00D57EA1" w:rsidP="00CC298A">
            <w:pPr>
              <w:pStyle w:val="ListParagraph"/>
              <w:numPr>
                <w:ilvl w:val="0"/>
                <w:numId w:val="10"/>
              </w:numPr>
              <w:ind w:left="357" w:hanging="357"/>
              <w:contextualSpacing w:val="0"/>
              <w:rPr>
                <w:rFonts w:cstheme="minorHAnsi"/>
              </w:rPr>
            </w:pPr>
            <w:r>
              <w:rPr>
                <w:rFonts w:cstheme="minorHAnsi"/>
              </w:rPr>
              <w:t>Identify</w:t>
            </w:r>
            <w:r w:rsidRPr="00107689">
              <w:rPr>
                <w:rFonts w:cstheme="minorHAnsi"/>
              </w:rPr>
              <w:t xml:space="preserve"> hotspots </w:t>
            </w:r>
            <w:r>
              <w:rPr>
                <w:rFonts w:cstheme="minorHAnsi"/>
              </w:rPr>
              <w:t xml:space="preserve">of overlap </w:t>
            </w:r>
            <w:r w:rsidRPr="00107689">
              <w:rPr>
                <w:rFonts w:cstheme="minorHAnsi"/>
              </w:rPr>
              <w:t>between underwater noise</w:t>
            </w:r>
            <w:r>
              <w:rPr>
                <w:rFonts w:cstheme="minorHAnsi"/>
              </w:rPr>
              <w:t xml:space="preserve"> from shipping</w:t>
            </w:r>
            <w:r w:rsidRPr="00107689">
              <w:rPr>
                <w:rFonts w:cstheme="minorHAnsi"/>
              </w:rPr>
              <w:t xml:space="preserve"> and ecologically </w:t>
            </w:r>
            <w:r>
              <w:rPr>
                <w:rFonts w:cstheme="minorHAnsi"/>
              </w:rPr>
              <w:t xml:space="preserve">and culturally </w:t>
            </w:r>
            <w:r w:rsidRPr="00107689">
              <w:rPr>
                <w:rFonts w:cstheme="minorHAnsi"/>
              </w:rPr>
              <w:t>significant habitats</w:t>
            </w:r>
            <w:r>
              <w:rPr>
                <w:rFonts w:cstheme="minorHAnsi"/>
              </w:rPr>
              <w:t>.</w:t>
            </w:r>
            <w:r w:rsidRPr="00107689">
              <w:rPr>
                <w:rFonts w:cstheme="minorHAnsi"/>
              </w:rPr>
              <w:t xml:space="preserve"> </w:t>
            </w:r>
          </w:p>
          <w:p w14:paraId="75D710D3" w14:textId="7CAB608A" w:rsidR="007D1726" w:rsidRPr="00CC298A" w:rsidRDefault="00D57EA1" w:rsidP="00CC298A">
            <w:pPr>
              <w:pStyle w:val="ListParagraph"/>
              <w:numPr>
                <w:ilvl w:val="0"/>
                <w:numId w:val="10"/>
              </w:numPr>
              <w:ind w:left="357" w:hanging="357"/>
              <w:contextualSpacing w:val="0"/>
              <w:rPr>
                <w:rFonts w:cstheme="minorHAnsi"/>
              </w:rPr>
            </w:pPr>
            <w:r>
              <w:rPr>
                <w:rFonts w:cstheme="minorHAnsi"/>
              </w:rPr>
              <w:t>Based on the results obtained, and recognizing the limitations inherent to high-level analyses</w:t>
            </w:r>
            <w:r w:rsidRPr="00107689">
              <w:rPr>
                <w:rFonts w:cstheme="minorHAnsi"/>
              </w:rPr>
              <w:t>, define and communicate</w:t>
            </w:r>
            <w:r>
              <w:rPr>
                <w:rFonts w:cstheme="minorHAnsi"/>
              </w:rPr>
              <w:t xml:space="preserve"> (including to international regulators)</w:t>
            </w:r>
            <w:r w:rsidRPr="00107689">
              <w:rPr>
                <w:rFonts w:cstheme="minorHAnsi"/>
              </w:rPr>
              <w:t xml:space="preserve"> </w:t>
            </w:r>
            <w:r>
              <w:rPr>
                <w:rFonts w:cstheme="minorHAnsi"/>
              </w:rPr>
              <w:t xml:space="preserve">possible </w:t>
            </w:r>
            <w:r w:rsidRPr="00107689">
              <w:rPr>
                <w:rFonts w:cstheme="minorHAnsi"/>
              </w:rPr>
              <w:t>management options to reduce the impact of underwater noise from shipping in the Arctic.</w:t>
            </w:r>
            <w:r>
              <w:rPr>
                <w:rFonts w:cstheme="minorHAnsi"/>
              </w:rPr>
              <w:t xml:space="preserve"> Expert input and traditional knowledge will be used to inform any such options.</w:t>
            </w:r>
          </w:p>
        </w:tc>
        <w:tc>
          <w:tcPr>
            <w:tcW w:w="2252" w:type="dxa"/>
          </w:tcPr>
          <w:p w14:paraId="56AD5348" w14:textId="77777777" w:rsidR="007D1726" w:rsidRDefault="00D73CC7" w:rsidP="00703CDE">
            <w:pPr>
              <w:jc w:val="left"/>
            </w:pPr>
            <w:r>
              <w:t>Canada</w:t>
            </w:r>
            <w:r w:rsidR="00A71FB8">
              <w:t xml:space="preserve">, </w:t>
            </w:r>
            <w:r>
              <w:t>WWF</w:t>
            </w:r>
          </w:p>
        </w:tc>
      </w:tr>
      <w:tr w:rsidR="000A0C2D" w14:paraId="1131EF90" w14:textId="77777777" w:rsidTr="000C3D94">
        <w:tc>
          <w:tcPr>
            <w:tcW w:w="2542" w:type="dxa"/>
          </w:tcPr>
          <w:p w14:paraId="6EAC9F99" w14:textId="77777777" w:rsidR="000A0C2D" w:rsidRDefault="000A0C2D" w:rsidP="003A4AD1">
            <w:pPr>
              <w:jc w:val="left"/>
              <w:rPr>
                <w:rFonts w:ascii="Calibri" w:hAnsi="Calibri"/>
                <w:b/>
              </w:rPr>
            </w:pPr>
            <w:r w:rsidRPr="001D7886">
              <w:rPr>
                <w:rFonts w:ascii="Calibri" w:hAnsi="Calibri"/>
                <w:b/>
              </w:rPr>
              <w:lastRenderedPageBreak/>
              <w:t>Compendium of Shipping Accidents in the Arctic (CASA)</w:t>
            </w:r>
            <w:r>
              <w:rPr>
                <w:rFonts w:ascii="Calibri" w:hAnsi="Calibri"/>
                <w:b/>
              </w:rPr>
              <w:t>: Follow-up</w:t>
            </w:r>
          </w:p>
          <w:p w14:paraId="590D7706" w14:textId="6F73AA0A" w:rsidR="000A0C2D" w:rsidRPr="00AA4544" w:rsidRDefault="000A0C2D" w:rsidP="003A4AD1">
            <w:pPr>
              <w:jc w:val="left"/>
              <w:rPr>
                <w:rFonts w:ascii="Calibri" w:hAnsi="Calibri"/>
                <w:b/>
              </w:rPr>
            </w:pPr>
            <w:r w:rsidRPr="001C168A">
              <w:rPr>
                <w:rFonts w:ascii="Calibri" w:hAnsi="Calibri"/>
                <w:bCs/>
                <w:i/>
                <w:color w:val="000000" w:themeColor="text1"/>
              </w:rPr>
              <w:t>(Continuation-under development)</w:t>
            </w:r>
          </w:p>
        </w:tc>
        <w:tc>
          <w:tcPr>
            <w:tcW w:w="4252" w:type="dxa"/>
          </w:tcPr>
          <w:p w14:paraId="749C1338" w14:textId="10336598" w:rsidR="000A0C2D" w:rsidRPr="00AD6782" w:rsidRDefault="000A0C2D" w:rsidP="00D57EA1">
            <w:pPr>
              <w:rPr>
                <w:rFonts w:ascii="Calibri" w:hAnsi="Calibri"/>
              </w:rPr>
            </w:pPr>
            <w:r>
              <w:rPr>
                <w:rFonts w:ascii="Calibri" w:hAnsi="Calibri"/>
                <w:u w:val="single"/>
              </w:rPr>
              <w:t>The objective is to d</w:t>
            </w:r>
            <w:r w:rsidRPr="0093043E">
              <w:rPr>
                <w:rFonts w:ascii="Calibri" w:hAnsi="Calibri"/>
              </w:rPr>
              <w:t>evelop a compendium of shipping accidents in the Arctic for the period 2005-2017 to update the database of shipping accidents in the Arctic contained in the 2009 Arctic Marine Shipping Assessment (AMSA) Report and provide information useful to considering measures that might be pursued to reduce the risk of accidents</w:t>
            </w:r>
            <w:r>
              <w:rPr>
                <w:rFonts w:ascii="Calibri" w:hAnsi="Calibri"/>
              </w:rPr>
              <w:t>.</w:t>
            </w:r>
            <w:r w:rsidRPr="0093043E">
              <w:rPr>
                <w:rFonts w:ascii="Calibri" w:hAnsi="Calibri"/>
              </w:rPr>
              <w:t xml:space="preserve"> </w:t>
            </w:r>
            <w:r w:rsidRPr="00C67832">
              <w:rPr>
                <w:rFonts w:ascii="Calibri" w:hAnsi="Calibri"/>
              </w:rPr>
              <w:t>The project has been presented at recent PAME meetings, and will be pursued further, and its results incorporated to the Arctic Ship Traffic Database</w:t>
            </w:r>
            <w:r>
              <w:rPr>
                <w:rFonts w:ascii="Calibri" w:hAnsi="Calibri"/>
              </w:rPr>
              <w:t xml:space="preserve"> (ASTD)</w:t>
            </w:r>
            <w:r w:rsidRPr="00C67832">
              <w:rPr>
                <w:rFonts w:ascii="Calibri" w:hAnsi="Calibri"/>
              </w:rPr>
              <w:t>.</w:t>
            </w:r>
          </w:p>
        </w:tc>
        <w:tc>
          <w:tcPr>
            <w:tcW w:w="2252" w:type="dxa"/>
          </w:tcPr>
          <w:p w14:paraId="7DF7CD51" w14:textId="77777777" w:rsidR="000A0C2D" w:rsidRDefault="000A0C2D" w:rsidP="00703CDE">
            <w:pPr>
              <w:jc w:val="left"/>
            </w:pPr>
            <w:r>
              <w:t>USA</w:t>
            </w:r>
          </w:p>
          <w:p w14:paraId="78930A1A" w14:textId="77777777" w:rsidR="000A0C2D" w:rsidRDefault="000A0C2D" w:rsidP="00703CDE">
            <w:pPr>
              <w:jc w:val="left"/>
            </w:pPr>
          </w:p>
          <w:p w14:paraId="229A36B8" w14:textId="03D2AC8D" w:rsidR="000A0C2D" w:rsidRDefault="000A0C2D" w:rsidP="00703CDE">
            <w:pPr>
              <w:jc w:val="left"/>
            </w:pPr>
            <w:r>
              <w:t>Working group partner: EPPR</w:t>
            </w:r>
            <w:r w:rsidR="00AE29D2">
              <w:t xml:space="preserve"> (joint project)</w:t>
            </w:r>
          </w:p>
        </w:tc>
      </w:tr>
      <w:tr w:rsidR="00A52772" w14:paraId="106EE6B2" w14:textId="77777777" w:rsidTr="000C3D94">
        <w:tc>
          <w:tcPr>
            <w:tcW w:w="2542" w:type="dxa"/>
          </w:tcPr>
          <w:p w14:paraId="6607EDED" w14:textId="77777777" w:rsidR="00A52772" w:rsidRDefault="00A52772" w:rsidP="003A4AD1">
            <w:pPr>
              <w:jc w:val="left"/>
              <w:rPr>
                <w:b/>
              </w:rPr>
            </w:pPr>
            <w:r w:rsidRPr="00E24B69">
              <w:rPr>
                <w:b/>
              </w:rPr>
              <w:t>Collect, report and/or review information about on-shore use by indigenous peoples and local communities of HFO</w:t>
            </w:r>
          </w:p>
          <w:p w14:paraId="593F9D26" w14:textId="77777777" w:rsidR="00A52772" w:rsidRPr="00D73CC7" w:rsidRDefault="00A52772" w:rsidP="003A4AD1">
            <w:pPr>
              <w:jc w:val="left"/>
              <w:rPr>
                <w:b/>
              </w:rPr>
            </w:pPr>
            <w:r w:rsidRPr="00D73CC7">
              <w:rPr>
                <w:i/>
              </w:rPr>
              <w:t>Continued from previous work plan.</w:t>
            </w:r>
          </w:p>
        </w:tc>
        <w:tc>
          <w:tcPr>
            <w:tcW w:w="4252" w:type="dxa"/>
          </w:tcPr>
          <w:p w14:paraId="787CA4E6" w14:textId="77777777" w:rsidR="00A52772" w:rsidRDefault="000A6998" w:rsidP="00AD6782">
            <w:pPr>
              <w:rPr>
                <w:lang w:val="en-GB"/>
              </w:rPr>
            </w:pPr>
            <w:r>
              <w:rPr>
                <w:lang w:val="en-GB"/>
              </w:rPr>
              <w:t xml:space="preserve">The project will </w:t>
            </w:r>
            <w:r w:rsidR="00A52772" w:rsidRPr="00A52772">
              <w:rPr>
                <w:lang w:val="en-GB"/>
              </w:rPr>
              <w:t>collect, report and/or review information about on-shore use by indigenous peoples and local communities of HFO as well as the extent to which such peoples and communities rely on ships that burn HFO to deliver supplies and provisions.</w:t>
            </w:r>
          </w:p>
        </w:tc>
        <w:tc>
          <w:tcPr>
            <w:tcW w:w="2252" w:type="dxa"/>
          </w:tcPr>
          <w:p w14:paraId="60CF138C" w14:textId="77777777" w:rsidR="000A6998" w:rsidRDefault="000A6998" w:rsidP="00D73CC7">
            <w:pPr>
              <w:jc w:val="left"/>
              <w:rPr>
                <w:rFonts w:ascii="Calibri" w:hAnsi="Calibri"/>
                <w:bCs/>
                <w:i/>
                <w:color w:val="000000" w:themeColor="text1"/>
              </w:rPr>
            </w:pPr>
            <w:r w:rsidRPr="008C63CF">
              <w:rPr>
                <w:rFonts w:ascii="Calibri" w:hAnsi="Calibri"/>
                <w:bCs/>
                <w:i/>
                <w:color w:val="000000" w:themeColor="text1"/>
              </w:rPr>
              <w:t>USA, A</w:t>
            </w:r>
            <w:r>
              <w:rPr>
                <w:rFonts w:ascii="Calibri" w:hAnsi="Calibri"/>
                <w:bCs/>
                <w:i/>
                <w:color w:val="000000" w:themeColor="text1"/>
              </w:rPr>
              <w:t>IA, CCU</w:t>
            </w:r>
          </w:p>
          <w:p w14:paraId="032DD5C7" w14:textId="77777777" w:rsidR="00A52772" w:rsidRDefault="000A6998" w:rsidP="00D73CC7">
            <w:pPr>
              <w:jc w:val="left"/>
            </w:pPr>
            <w:r w:rsidRPr="008C63CF">
              <w:rPr>
                <w:rFonts w:ascii="Calibri" w:hAnsi="Calibri"/>
                <w:bCs/>
                <w:i/>
                <w:color w:val="000000" w:themeColor="text1"/>
              </w:rPr>
              <w:t>Working group partner: SDWG</w:t>
            </w:r>
          </w:p>
        </w:tc>
      </w:tr>
      <w:tr w:rsidR="00FF7E8B" w14:paraId="108430BB" w14:textId="77777777" w:rsidTr="000C3D94">
        <w:tc>
          <w:tcPr>
            <w:tcW w:w="2542" w:type="dxa"/>
          </w:tcPr>
          <w:p w14:paraId="09950560" w14:textId="77777777" w:rsidR="00FF7E8B" w:rsidRPr="007855F4" w:rsidRDefault="00FF7E8B" w:rsidP="003A4AD1">
            <w:pPr>
              <w:jc w:val="left"/>
              <w:rPr>
                <w:b/>
              </w:rPr>
            </w:pPr>
            <w:r w:rsidRPr="007855F4">
              <w:rPr>
                <w:b/>
              </w:rPr>
              <w:t>Collect and summarize information on Arctic State safe and low-impact marine corridor initiatives</w:t>
            </w:r>
          </w:p>
          <w:p w14:paraId="34FBDBAA" w14:textId="77777777" w:rsidR="00FF7E8B" w:rsidRPr="007855F4" w:rsidRDefault="00FF7E8B" w:rsidP="003A4AD1">
            <w:pPr>
              <w:jc w:val="left"/>
              <w:rPr>
                <w:b/>
              </w:rPr>
            </w:pPr>
            <w:r w:rsidRPr="007855F4">
              <w:rPr>
                <w:i/>
              </w:rPr>
              <w:t>Continued from previous work plan.</w:t>
            </w:r>
          </w:p>
        </w:tc>
        <w:tc>
          <w:tcPr>
            <w:tcW w:w="4252" w:type="dxa"/>
          </w:tcPr>
          <w:p w14:paraId="3D26CD8B" w14:textId="77777777" w:rsidR="00FF7E8B" w:rsidRPr="007855F4" w:rsidRDefault="00FF7E8B" w:rsidP="00AF20D0">
            <w:r w:rsidRPr="007855F4">
              <w:t>Collect and summarize information on Arctic State safe and low-impact marine corridor initiatives and programs and contribute to enhanced marine navigation safety with a view to submitting a final report to PAME</w:t>
            </w:r>
          </w:p>
        </w:tc>
        <w:tc>
          <w:tcPr>
            <w:tcW w:w="2252" w:type="dxa"/>
          </w:tcPr>
          <w:p w14:paraId="14A81D99" w14:textId="77777777" w:rsidR="00FF7E8B" w:rsidRPr="007855F4" w:rsidRDefault="00FF7E8B" w:rsidP="00D73CC7">
            <w:pPr>
              <w:jc w:val="left"/>
              <w:rPr>
                <w:rFonts w:ascii="Calibri" w:hAnsi="Calibri"/>
                <w:bCs/>
                <w:i/>
                <w:color w:val="000000" w:themeColor="text1"/>
              </w:rPr>
            </w:pPr>
            <w:r w:rsidRPr="007855F4">
              <w:rPr>
                <w:i/>
              </w:rPr>
              <w:t>Canada, Iceland, AIA</w:t>
            </w:r>
          </w:p>
        </w:tc>
      </w:tr>
      <w:tr w:rsidR="00671295" w14:paraId="04B55FCC" w14:textId="77777777" w:rsidTr="000C3D94">
        <w:tc>
          <w:tcPr>
            <w:tcW w:w="2542" w:type="dxa"/>
          </w:tcPr>
          <w:p w14:paraId="3A4E279D" w14:textId="77777777" w:rsidR="00671295" w:rsidRDefault="00671295" w:rsidP="003A4AD1">
            <w:pPr>
              <w:jc w:val="left"/>
              <w:rPr>
                <w:b/>
              </w:rPr>
            </w:pPr>
            <w:r w:rsidRPr="00671295">
              <w:rPr>
                <w:b/>
              </w:rPr>
              <w:t>A framework for more systematically engaging with Observers on shipping related matters</w:t>
            </w:r>
          </w:p>
          <w:p w14:paraId="635275EB" w14:textId="77777777" w:rsidR="00C006DF" w:rsidRDefault="00C006DF" w:rsidP="003A4AD1">
            <w:pPr>
              <w:jc w:val="left"/>
              <w:rPr>
                <w:b/>
              </w:rPr>
            </w:pPr>
          </w:p>
          <w:p w14:paraId="6D82A7F0" w14:textId="77777777" w:rsidR="00C006DF" w:rsidRPr="00E24B69" w:rsidRDefault="00C006DF" w:rsidP="003A4AD1">
            <w:pPr>
              <w:jc w:val="left"/>
              <w:rPr>
                <w:b/>
              </w:rPr>
            </w:pPr>
            <w:r w:rsidRPr="00D73CC7">
              <w:rPr>
                <w:i/>
              </w:rPr>
              <w:t>Continued from previous work plan.</w:t>
            </w:r>
          </w:p>
        </w:tc>
        <w:tc>
          <w:tcPr>
            <w:tcW w:w="4252" w:type="dxa"/>
          </w:tcPr>
          <w:p w14:paraId="53AF02DA" w14:textId="405B26B8" w:rsidR="00D6131E" w:rsidRPr="002E028D" w:rsidRDefault="00D6131E" w:rsidP="00D6131E">
            <w:pPr>
              <w:rPr>
                <w:rFonts w:ascii="Calibri" w:hAnsi="Calibri"/>
                <w:color w:val="000000" w:themeColor="text1"/>
              </w:rPr>
            </w:pPr>
            <w:r>
              <w:rPr>
                <w:rFonts w:ascii="Calibri" w:hAnsi="Calibri"/>
                <w:color w:val="000000" w:themeColor="text1"/>
              </w:rPr>
              <w:t>The objective of the project is to d</w:t>
            </w:r>
            <w:r w:rsidRPr="001C168A">
              <w:rPr>
                <w:rFonts w:ascii="Calibri" w:hAnsi="Calibri"/>
                <w:color w:val="000000" w:themeColor="text1"/>
              </w:rPr>
              <w:t>evelop an approach/framework for more systematically engaging with Observer States on PAME’s shipping-related work and identify opportunities for Observer States to contribute to and/or support such work.</w:t>
            </w:r>
            <w:r w:rsidRPr="0015533F">
              <w:rPr>
                <w:rFonts w:ascii="Calibri" w:hAnsi="Calibri"/>
                <w:color w:val="000000" w:themeColor="text1"/>
              </w:rPr>
              <w:t xml:space="preserve"> </w:t>
            </w:r>
            <w:r w:rsidRPr="002E028D">
              <w:rPr>
                <w:rFonts w:ascii="Calibri" w:hAnsi="Calibri"/>
                <w:color w:val="000000" w:themeColor="text1"/>
              </w:rPr>
              <w:t>Identify options for leveraging Observer State interest and expertise.</w:t>
            </w:r>
          </w:p>
          <w:p w14:paraId="47592B91" w14:textId="184E6BC9" w:rsidR="00671295" w:rsidRPr="00CC298A" w:rsidRDefault="00D6131E" w:rsidP="00CC298A">
            <w:pPr>
              <w:rPr>
                <w:rFonts w:ascii="Calibri" w:hAnsi="Calibri"/>
                <w:color w:val="000000" w:themeColor="text1"/>
              </w:rPr>
            </w:pPr>
            <w:r w:rsidRPr="003736C8">
              <w:rPr>
                <w:rFonts w:ascii="Calibri" w:hAnsi="Calibri"/>
                <w:color w:val="000000" w:themeColor="text1"/>
              </w:rPr>
              <w:t>PAME aims to hold one or more workshops during the two-year biennium with Observers to advance this project.</w:t>
            </w:r>
            <w:r w:rsidRPr="002E028D">
              <w:rPr>
                <w:rFonts w:ascii="Calibri" w:hAnsi="Calibri"/>
                <w:color w:val="000000" w:themeColor="text1"/>
              </w:rPr>
              <w:t xml:space="preserve">  </w:t>
            </w:r>
          </w:p>
        </w:tc>
        <w:tc>
          <w:tcPr>
            <w:tcW w:w="2252" w:type="dxa"/>
          </w:tcPr>
          <w:p w14:paraId="42E92175" w14:textId="77777777" w:rsidR="00671295" w:rsidRPr="008C63CF" w:rsidRDefault="00A71FB8" w:rsidP="00D73CC7">
            <w:pPr>
              <w:jc w:val="left"/>
              <w:rPr>
                <w:rFonts w:ascii="Calibri" w:hAnsi="Calibri"/>
                <w:bCs/>
                <w:i/>
                <w:color w:val="000000" w:themeColor="text1"/>
              </w:rPr>
            </w:pPr>
            <w:r w:rsidRPr="00A71FB8">
              <w:rPr>
                <w:rFonts w:ascii="Calibri" w:hAnsi="Calibri"/>
                <w:bCs/>
                <w:i/>
                <w:color w:val="000000" w:themeColor="text1"/>
              </w:rPr>
              <w:t>USA, Republic of Korea, Italy, Poland</w:t>
            </w:r>
          </w:p>
        </w:tc>
      </w:tr>
      <w:tr w:rsidR="00345B88" w14:paraId="437F6AEA" w14:textId="77777777" w:rsidTr="000C3D94">
        <w:tc>
          <w:tcPr>
            <w:tcW w:w="2542" w:type="dxa"/>
          </w:tcPr>
          <w:p w14:paraId="3D28C3DD" w14:textId="67F7609C" w:rsidR="00345B88" w:rsidRPr="00345B88" w:rsidRDefault="00345B88" w:rsidP="003A4AD1">
            <w:pPr>
              <w:jc w:val="left"/>
              <w:rPr>
                <w:i/>
              </w:rPr>
            </w:pPr>
            <w:r w:rsidRPr="00345B88">
              <w:rPr>
                <w:b/>
              </w:rPr>
              <w:t>AMSA recommendation update</w:t>
            </w:r>
            <w:r w:rsidR="00D6131E">
              <w:rPr>
                <w:b/>
              </w:rPr>
              <w:t xml:space="preserve"> refresh</w:t>
            </w:r>
          </w:p>
          <w:p w14:paraId="5FEEDC4F" w14:textId="77777777" w:rsidR="00345B88" w:rsidRPr="00671295" w:rsidRDefault="00345B88" w:rsidP="003A4AD1">
            <w:pPr>
              <w:jc w:val="left"/>
              <w:rPr>
                <w:b/>
              </w:rPr>
            </w:pPr>
            <w:r w:rsidRPr="00345B88">
              <w:rPr>
                <w:i/>
              </w:rPr>
              <w:lastRenderedPageBreak/>
              <w:t>Continued from previous work plan.</w:t>
            </w:r>
          </w:p>
        </w:tc>
        <w:tc>
          <w:tcPr>
            <w:tcW w:w="4252" w:type="dxa"/>
          </w:tcPr>
          <w:p w14:paraId="6986B989" w14:textId="409095D5" w:rsidR="00345B88" w:rsidRPr="00CC298A" w:rsidRDefault="00CC298A" w:rsidP="00CC298A">
            <w:pPr>
              <w:rPr>
                <w:rFonts w:ascii="Calibri" w:hAnsi="Calibri" w:cs="Times New Roman"/>
                <w:bCs/>
                <w:color w:val="000000" w:themeColor="text1"/>
              </w:rPr>
            </w:pPr>
            <w:r>
              <w:rPr>
                <w:rFonts w:ascii="Calibri" w:hAnsi="Calibri" w:cs="Times New Roman"/>
                <w:bCs/>
                <w:color w:val="000000" w:themeColor="text1"/>
              </w:rPr>
              <w:lastRenderedPageBreak/>
              <w:t>C</w:t>
            </w:r>
            <w:r w:rsidR="00D6131E">
              <w:rPr>
                <w:rFonts w:ascii="Calibri" w:hAnsi="Calibri" w:cs="Times New Roman"/>
                <w:bCs/>
                <w:color w:val="000000" w:themeColor="text1"/>
              </w:rPr>
              <w:t>ontinue the d</w:t>
            </w:r>
            <w:r w:rsidR="00D6131E" w:rsidRPr="001C168A">
              <w:rPr>
                <w:rFonts w:ascii="Calibri" w:hAnsi="Calibri" w:cs="Times New Roman"/>
                <w:bCs/>
                <w:color w:val="000000" w:themeColor="text1"/>
              </w:rPr>
              <w:t>evelop</w:t>
            </w:r>
            <w:r w:rsidR="00D6131E">
              <w:rPr>
                <w:rFonts w:ascii="Calibri" w:hAnsi="Calibri" w:cs="Times New Roman"/>
                <w:bCs/>
                <w:color w:val="000000" w:themeColor="text1"/>
              </w:rPr>
              <w:t xml:space="preserve">ment and </w:t>
            </w:r>
            <w:r w:rsidR="00D6131E" w:rsidRPr="001C168A">
              <w:rPr>
                <w:rFonts w:ascii="Calibri" w:hAnsi="Calibri" w:cs="Times New Roman"/>
                <w:bCs/>
                <w:color w:val="000000" w:themeColor="text1"/>
              </w:rPr>
              <w:t>updat</w:t>
            </w:r>
            <w:r w:rsidR="00D6131E">
              <w:rPr>
                <w:rFonts w:ascii="Calibri" w:hAnsi="Calibri" w:cs="Times New Roman"/>
                <w:bCs/>
                <w:color w:val="000000" w:themeColor="text1"/>
              </w:rPr>
              <w:t>ing of</w:t>
            </w:r>
            <w:r w:rsidR="00D6131E" w:rsidRPr="001C168A">
              <w:rPr>
                <w:rFonts w:ascii="Calibri" w:hAnsi="Calibri" w:cs="Times New Roman"/>
                <w:bCs/>
                <w:color w:val="000000" w:themeColor="text1"/>
              </w:rPr>
              <w:t xml:space="preserve"> shipping priorities and recommendations under the three </w:t>
            </w:r>
            <w:r w:rsidR="00D6131E" w:rsidRPr="001C168A">
              <w:rPr>
                <w:rFonts w:ascii="Calibri" w:hAnsi="Calibri" w:cs="Times New Roman"/>
                <w:bCs/>
                <w:color w:val="000000" w:themeColor="text1"/>
              </w:rPr>
              <w:lastRenderedPageBreak/>
              <w:t>themes of the 2009 Arctic Marine Shipping Assessment (AMSA) Report (Enhancing Arctic Marine Safety; Protecting Arctic People and the Environment; and Building the Arctic Marine Infrastructure).</w:t>
            </w:r>
          </w:p>
        </w:tc>
        <w:tc>
          <w:tcPr>
            <w:tcW w:w="2252" w:type="dxa"/>
          </w:tcPr>
          <w:p w14:paraId="708899C1" w14:textId="77777777" w:rsidR="00345B88" w:rsidRPr="00A71FB8" w:rsidRDefault="00FA55DA" w:rsidP="00D73CC7">
            <w:pPr>
              <w:jc w:val="left"/>
              <w:rPr>
                <w:rFonts w:ascii="Calibri" w:hAnsi="Calibri"/>
                <w:bCs/>
                <w:i/>
                <w:color w:val="000000" w:themeColor="text1"/>
              </w:rPr>
            </w:pPr>
            <w:r>
              <w:rPr>
                <w:rFonts w:ascii="Calibri" w:hAnsi="Calibri"/>
                <w:bCs/>
                <w:i/>
                <w:color w:val="000000" w:themeColor="text1"/>
              </w:rPr>
              <w:lastRenderedPageBreak/>
              <w:t>USA, Canada</w:t>
            </w:r>
          </w:p>
        </w:tc>
      </w:tr>
      <w:tr w:rsidR="001D7079" w14:paraId="56310AF9" w14:textId="77777777" w:rsidTr="000C3D94">
        <w:tc>
          <w:tcPr>
            <w:tcW w:w="2542" w:type="dxa"/>
          </w:tcPr>
          <w:p w14:paraId="0A3558C5" w14:textId="77777777" w:rsidR="001D7079" w:rsidRDefault="001D7079" w:rsidP="003A4AD1">
            <w:pPr>
              <w:jc w:val="left"/>
              <w:rPr>
                <w:b/>
              </w:rPr>
            </w:pPr>
            <w:r>
              <w:rPr>
                <w:b/>
              </w:rPr>
              <w:t>Arctic Ship Traffic Data</w:t>
            </w:r>
          </w:p>
          <w:p w14:paraId="3B9B352A" w14:textId="77777777" w:rsidR="001D7079" w:rsidRPr="00345B88" w:rsidRDefault="001D7079" w:rsidP="003A4AD1">
            <w:pPr>
              <w:jc w:val="left"/>
              <w:rPr>
                <w:b/>
              </w:rPr>
            </w:pPr>
            <w:r w:rsidRPr="00345B88">
              <w:rPr>
                <w:i/>
              </w:rPr>
              <w:t>Continued from previous work plan.</w:t>
            </w:r>
          </w:p>
        </w:tc>
        <w:tc>
          <w:tcPr>
            <w:tcW w:w="4252" w:type="dxa"/>
          </w:tcPr>
          <w:p w14:paraId="4C535D8E" w14:textId="73E202C1" w:rsidR="001D7079" w:rsidRPr="00CC298A" w:rsidRDefault="00CC298A" w:rsidP="00CC298A">
            <w:pPr>
              <w:rPr>
                <w:rFonts w:ascii="Calibri" w:hAnsi="Calibri"/>
                <w:color w:val="000000" w:themeColor="text1"/>
              </w:rPr>
            </w:pPr>
            <w:r w:rsidRPr="00CC298A">
              <w:rPr>
                <w:rFonts w:ascii="Calibri" w:hAnsi="Calibri"/>
                <w:color w:val="000000" w:themeColor="text1"/>
              </w:rPr>
              <w:t>U</w:t>
            </w:r>
            <w:r w:rsidR="00D6131E" w:rsidRPr="001C168A">
              <w:rPr>
                <w:rFonts w:ascii="Calibri" w:hAnsi="Calibri"/>
                <w:color w:val="000000" w:themeColor="text1"/>
              </w:rPr>
              <w:t>pdate, administ</w:t>
            </w:r>
            <w:r w:rsidR="00D6131E">
              <w:rPr>
                <w:rFonts w:ascii="Calibri" w:hAnsi="Calibri"/>
                <w:color w:val="000000" w:themeColor="text1"/>
              </w:rPr>
              <w:t>er</w:t>
            </w:r>
            <w:r w:rsidR="00D6131E" w:rsidRPr="001C168A">
              <w:rPr>
                <w:rFonts w:ascii="Calibri" w:hAnsi="Calibri"/>
                <w:color w:val="000000" w:themeColor="text1"/>
              </w:rPr>
              <w:t xml:space="preserve"> and further </w:t>
            </w:r>
            <w:r w:rsidR="00D6131E">
              <w:rPr>
                <w:rFonts w:ascii="Calibri" w:hAnsi="Calibri"/>
                <w:color w:val="000000" w:themeColor="text1"/>
              </w:rPr>
              <w:t xml:space="preserve">develop </w:t>
            </w:r>
            <w:r w:rsidR="00D6131E" w:rsidRPr="0015533F">
              <w:rPr>
                <w:rFonts w:ascii="Calibri" w:hAnsi="Calibri"/>
                <w:color w:val="000000" w:themeColor="text1"/>
              </w:rPr>
              <w:t>the Arctic Ship Traffic Database.</w:t>
            </w:r>
            <w:r w:rsidR="00D6131E">
              <w:rPr>
                <w:rFonts w:ascii="Calibri" w:hAnsi="Calibri"/>
                <w:color w:val="000000" w:themeColor="text1"/>
              </w:rPr>
              <w:t xml:space="preserve"> The database setup has been completed but will be updated and developed as per instructions from the ASTD Expert Group by the Norwegian Coastal </w:t>
            </w:r>
            <w:proofErr w:type="gramStart"/>
            <w:r w:rsidR="00D6131E">
              <w:rPr>
                <w:rFonts w:ascii="Calibri" w:hAnsi="Calibri"/>
                <w:color w:val="000000" w:themeColor="text1"/>
              </w:rPr>
              <w:t>Administration, and</w:t>
            </w:r>
            <w:proofErr w:type="gramEnd"/>
            <w:r w:rsidR="00D6131E">
              <w:rPr>
                <w:rFonts w:ascii="Calibri" w:hAnsi="Calibri"/>
                <w:color w:val="000000" w:themeColor="text1"/>
              </w:rPr>
              <w:t xml:space="preserve"> administered by the PAME Secretariat. That includes the overseeing of the annual funds for ASTD, and other roles according to the </w:t>
            </w:r>
            <w:r w:rsidR="00D6131E" w:rsidRPr="00411DA3">
              <w:rPr>
                <w:rFonts w:ascii="Calibri" w:hAnsi="Calibri"/>
                <w:i/>
                <w:color w:val="000000" w:themeColor="text1"/>
              </w:rPr>
              <w:t>Cooperative Agreement among the Arctic States Regarding Arctic Ship Traffic Data Sharing</w:t>
            </w:r>
            <w:r w:rsidR="00D6131E">
              <w:rPr>
                <w:rFonts w:ascii="Calibri" w:hAnsi="Calibri"/>
                <w:i/>
                <w:color w:val="000000" w:themeColor="text1"/>
              </w:rPr>
              <w:t xml:space="preserve"> (2017)</w:t>
            </w:r>
            <w:r w:rsidR="00D6131E" w:rsidRPr="00411DA3">
              <w:rPr>
                <w:rFonts w:ascii="Calibri" w:hAnsi="Calibri"/>
                <w:i/>
                <w:color w:val="000000" w:themeColor="text1"/>
              </w:rPr>
              <w:t>.</w:t>
            </w:r>
          </w:p>
        </w:tc>
        <w:tc>
          <w:tcPr>
            <w:tcW w:w="2252" w:type="dxa"/>
          </w:tcPr>
          <w:p w14:paraId="3538ED7F" w14:textId="77777777" w:rsidR="001D7079" w:rsidRDefault="001D7079" w:rsidP="00D73CC7">
            <w:pPr>
              <w:jc w:val="left"/>
              <w:rPr>
                <w:rFonts w:ascii="Calibri" w:hAnsi="Calibri"/>
                <w:bCs/>
                <w:i/>
                <w:color w:val="000000" w:themeColor="text1"/>
              </w:rPr>
            </w:pPr>
            <w:r>
              <w:rPr>
                <w:rFonts w:ascii="Calibri" w:hAnsi="Calibri"/>
                <w:bCs/>
                <w:i/>
                <w:color w:val="000000" w:themeColor="text1"/>
              </w:rPr>
              <w:t>USA, Norway</w:t>
            </w:r>
          </w:p>
          <w:p w14:paraId="63FC03F7" w14:textId="77777777" w:rsidR="001D7079" w:rsidRDefault="001D7079" w:rsidP="00D73CC7">
            <w:pPr>
              <w:jc w:val="left"/>
              <w:rPr>
                <w:rFonts w:ascii="Calibri" w:hAnsi="Calibri"/>
                <w:bCs/>
                <w:i/>
                <w:color w:val="000000" w:themeColor="text1"/>
              </w:rPr>
            </w:pPr>
            <w:r>
              <w:rPr>
                <w:rFonts w:ascii="Calibri" w:hAnsi="Calibri"/>
                <w:bCs/>
                <w:i/>
                <w:color w:val="000000" w:themeColor="text1"/>
              </w:rPr>
              <w:t>PAME Secretariat</w:t>
            </w:r>
          </w:p>
        </w:tc>
      </w:tr>
      <w:tr w:rsidR="005A4960" w14:paraId="78F5BD31" w14:textId="77777777" w:rsidTr="000C3D94">
        <w:tc>
          <w:tcPr>
            <w:tcW w:w="2542" w:type="dxa"/>
          </w:tcPr>
          <w:p w14:paraId="327ED00B" w14:textId="77777777" w:rsidR="005A4960" w:rsidRDefault="005A4960" w:rsidP="003A4AD1">
            <w:pPr>
              <w:jc w:val="left"/>
              <w:rPr>
                <w:b/>
              </w:rPr>
            </w:pPr>
            <w:r>
              <w:rPr>
                <w:b/>
              </w:rPr>
              <w:t>Arctic Shipping Best Practice Information Forum</w:t>
            </w:r>
          </w:p>
          <w:p w14:paraId="46000AD1" w14:textId="77777777" w:rsidR="00FF3CEC" w:rsidRDefault="00FF3CEC" w:rsidP="003A4AD1">
            <w:pPr>
              <w:jc w:val="left"/>
              <w:rPr>
                <w:b/>
              </w:rPr>
            </w:pPr>
            <w:r w:rsidRPr="00345B88">
              <w:rPr>
                <w:i/>
              </w:rPr>
              <w:t>Continued from previous work plan.</w:t>
            </w:r>
          </w:p>
        </w:tc>
        <w:tc>
          <w:tcPr>
            <w:tcW w:w="4252" w:type="dxa"/>
          </w:tcPr>
          <w:p w14:paraId="0AABBF15" w14:textId="0A2708B8" w:rsidR="005A4960" w:rsidRDefault="001318AC" w:rsidP="00CC298A">
            <w:r>
              <w:t>C</w:t>
            </w:r>
            <w:r w:rsidRPr="00C67832">
              <w:t>onvene annual meetings of stakeholders and continue the development and expansion of the Forum’s web portal (</w:t>
            </w:r>
            <w:hyperlink r:id="rId9" w:anchor="part-ia-safety-measures" w:history="1">
              <w:r w:rsidRPr="00C67832">
                <w:rPr>
                  <w:rStyle w:val="Hyperlink"/>
                </w:rPr>
                <w:t>arcticshippingforum.is</w:t>
              </w:r>
            </w:hyperlink>
            <w:r w:rsidRPr="00C67832">
              <w:t>)</w:t>
            </w:r>
            <w:r>
              <w:t xml:space="preserve">. The web-portal includes </w:t>
            </w:r>
            <w:r w:rsidRPr="00C67832">
              <w:t xml:space="preserve">links to key information related to the IMO’s Polar Code </w:t>
            </w:r>
            <w:r>
              <w:t>and</w:t>
            </w:r>
            <w:r w:rsidRPr="00C67832">
              <w:t xml:space="preserve"> serve</w:t>
            </w:r>
            <w:r>
              <w:t>s</w:t>
            </w:r>
            <w:r w:rsidRPr="00C67832">
              <w:t xml:space="preserve"> as a resource hub of information, guidance and guidelines that aid decision makers involved in Arctic maritime navigation and those affected by maritime operations related to the Polar Code. This is in accordance with the </w:t>
            </w:r>
            <w:proofErr w:type="spellStart"/>
            <w:r w:rsidRPr="00C67832">
              <w:rPr>
                <w:rFonts w:cs="Calibri"/>
                <w:iCs/>
                <w:color w:val="000000"/>
                <w:lang w:val="en-GB"/>
              </w:rPr>
              <w:t>ToR</w:t>
            </w:r>
            <w:proofErr w:type="spellEnd"/>
            <w:r w:rsidRPr="00C67832">
              <w:rPr>
                <w:rFonts w:cs="Calibri"/>
                <w:iCs/>
                <w:color w:val="000000"/>
                <w:lang w:val="en-GB"/>
              </w:rPr>
              <w:t xml:space="preserve"> for the Arctic Shipping Best Practices Forum (2017).</w:t>
            </w:r>
          </w:p>
        </w:tc>
        <w:tc>
          <w:tcPr>
            <w:tcW w:w="2252" w:type="dxa"/>
          </w:tcPr>
          <w:p w14:paraId="79CE4338" w14:textId="77777777" w:rsidR="005A4960" w:rsidRDefault="005A4960" w:rsidP="00D73CC7">
            <w:pPr>
              <w:jc w:val="left"/>
              <w:rPr>
                <w:rFonts w:ascii="Calibri" w:hAnsi="Calibri"/>
                <w:bCs/>
                <w:i/>
                <w:color w:val="000000" w:themeColor="text1"/>
              </w:rPr>
            </w:pPr>
            <w:r>
              <w:rPr>
                <w:rFonts w:ascii="Calibri" w:hAnsi="Calibri"/>
                <w:bCs/>
                <w:i/>
                <w:color w:val="000000" w:themeColor="text1"/>
              </w:rPr>
              <w:t>Iceland, USA, Canada</w:t>
            </w:r>
          </w:p>
        </w:tc>
      </w:tr>
      <w:tr w:rsidR="007260FE" w14:paraId="5DBF2356" w14:textId="77777777" w:rsidTr="00430A42">
        <w:tc>
          <w:tcPr>
            <w:tcW w:w="9046" w:type="dxa"/>
            <w:gridSpan w:val="3"/>
            <w:tcBorders>
              <w:top w:val="single" w:sz="8" w:space="0" w:color="auto"/>
              <w:left w:val="single" w:sz="8" w:space="0" w:color="auto"/>
              <w:bottom w:val="single" w:sz="8" w:space="0" w:color="auto"/>
              <w:right w:val="single" w:sz="8" w:space="0" w:color="auto"/>
            </w:tcBorders>
            <w:shd w:val="clear" w:color="auto" w:fill="ED7D31" w:themeFill="accent2"/>
          </w:tcPr>
          <w:p w14:paraId="0667F8C4" w14:textId="77777777" w:rsidR="007260FE" w:rsidRPr="003E1EDC" w:rsidRDefault="007260FE" w:rsidP="00430A42">
            <w:pPr>
              <w:jc w:val="center"/>
              <w:rPr>
                <w:b/>
              </w:rPr>
            </w:pPr>
            <w:r>
              <w:rPr>
                <w:b/>
                <w:color w:val="FFFFFF" w:themeColor="background1"/>
              </w:rPr>
              <w:t>Invasive Species</w:t>
            </w:r>
          </w:p>
        </w:tc>
      </w:tr>
      <w:tr w:rsidR="007260FE" w14:paraId="06BFB698" w14:textId="77777777" w:rsidTr="00430A42">
        <w:tc>
          <w:tcPr>
            <w:tcW w:w="2542" w:type="dxa"/>
            <w:tcBorders>
              <w:top w:val="single" w:sz="8" w:space="0" w:color="auto"/>
              <w:right w:val="nil"/>
            </w:tcBorders>
            <w:shd w:val="clear" w:color="auto" w:fill="F2F2F2" w:themeFill="background1" w:themeFillShade="F2"/>
          </w:tcPr>
          <w:p w14:paraId="08BB738F" w14:textId="77777777" w:rsidR="007260FE" w:rsidRDefault="007260FE" w:rsidP="00430A42">
            <w:pPr>
              <w:jc w:val="center"/>
            </w:pPr>
            <w:r>
              <w:t>Project/activity</w:t>
            </w:r>
          </w:p>
        </w:tc>
        <w:tc>
          <w:tcPr>
            <w:tcW w:w="4252" w:type="dxa"/>
            <w:tcBorders>
              <w:top w:val="single" w:sz="8" w:space="0" w:color="auto"/>
              <w:left w:val="nil"/>
              <w:right w:val="nil"/>
            </w:tcBorders>
            <w:shd w:val="clear" w:color="auto" w:fill="F2F2F2" w:themeFill="background1" w:themeFillShade="F2"/>
          </w:tcPr>
          <w:p w14:paraId="1A4CFC35" w14:textId="77777777" w:rsidR="007260FE" w:rsidRDefault="007260FE" w:rsidP="00430A42">
            <w:pPr>
              <w:jc w:val="center"/>
            </w:pPr>
            <w:r>
              <w:t>Description</w:t>
            </w:r>
          </w:p>
        </w:tc>
        <w:tc>
          <w:tcPr>
            <w:tcW w:w="2252" w:type="dxa"/>
            <w:tcBorders>
              <w:top w:val="single" w:sz="8" w:space="0" w:color="auto"/>
              <w:left w:val="nil"/>
            </w:tcBorders>
            <w:shd w:val="clear" w:color="auto" w:fill="F2F2F2" w:themeFill="background1" w:themeFillShade="F2"/>
          </w:tcPr>
          <w:p w14:paraId="16744D21" w14:textId="77777777" w:rsidR="007260FE" w:rsidRDefault="007260FE" w:rsidP="00430A42">
            <w:pPr>
              <w:jc w:val="center"/>
            </w:pPr>
            <w:r w:rsidRPr="00B4580D">
              <w:t>Lead(s) and partners</w:t>
            </w:r>
          </w:p>
        </w:tc>
      </w:tr>
      <w:tr w:rsidR="007260FE" w14:paraId="51A3350C" w14:textId="77777777" w:rsidTr="00430A42">
        <w:tc>
          <w:tcPr>
            <w:tcW w:w="2542" w:type="dxa"/>
          </w:tcPr>
          <w:p w14:paraId="34F22EDA" w14:textId="3444561E" w:rsidR="002C3E26" w:rsidRDefault="002C3E26" w:rsidP="00430A42">
            <w:pPr>
              <w:jc w:val="left"/>
              <w:rPr>
                <w:i/>
              </w:rPr>
            </w:pPr>
            <w:r w:rsidRPr="00060D88">
              <w:rPr>
                <w:rFonts w:ascii="Calibri" w:hAnsi="Calibri" w:cs="Calibri"/>
                <w:b/>
              </w:rPr>
              <w:t xml:space="preserve">Implementation Plan for the ARIAS Strategy and Action Plan </w:t>
            </w:r>
          </w:p>
          <w:p w14:paraId="5CA00419" w14:textId="2A5FB6BD" w:rsidR="008E31D7" w:rsidRPr="007260FE" w:rsidRDefault="008E31D7" w:rsidP="00430A42">
            <w:pPr>
              <w:jc w:val="left"/>
              <w:rPr>
                <w:b/>
              </w:rPr>
            </w:pPr>
            <w:r w:rsidRPr="00345B88">
              <w:rPr>
                <w:i/>
              </w:rPr>
              <w:t>Continued from previous work plan.</w:t>
            </w:r>
          </w:p>
        </w:tc>
        <w:tc>
          <w:tcPr>
            <w:tcW w:w="4252" w:type="dxa"/>
          </w:tcPr>
          <w:p w14:paraId="6427EBF3" w14:textId="77777777" w:rsidR="002C3E26" w:rsidRDefault="002C3E26" w:rsidP="002C3E26">
            <w:pPr>
              <w:spacing w:before="80" w:after="80"/>
              <w:rPr>
                <w:rFonts w:ascii="Calibri" w:hAnsi="Calibri" w:cs="Calibri"/>
              </w:rPr>
            </w:pPr>
            <w:r w:rsidRPr="00060D88">
              <w:rPr>
                <w:rFonts w:ascii="Calibri" w:hAnsi="Calibri"/>
                <w:szCs w:val="20"/>
              </w:rPr>
              <w:t>PAME and CAFF have established a Joint ARIAS (Arctic Invasive Alien Species Strategy and Action Plan)</w:t>
            </w:r>
            <w:r w:rsidRPr="00060D88">
              <w:rPr>
                <w:rFonts w:ascii="Calibri" w:hAnsi="Calibri"/>
                <w:color w:val="000000"/>
                <w:szCs w:val="20"/>
              </w:rPr>
              <w:t xml:space="preserve"> Implementation Coordinating Group (ICG) and approved the Terms of Reference for the ICG with the aim to </w:t>
            </w:r>
            <w:r w:rsidRPr="00060D88">
              <w:rPr>
                <w:rFonts w:ascii="Calibri" w:hAnsi="Calibri" w:cs="Calibri"/>
              </w:rPr>
              <w:t xml:space="preserve">guide implementation of ARIAS and provide recommendations regarding potential implementation actions and </w:t>
            </w:r>
            <w:r w:rsidRPr="00060D88">
              <w:rPr>
                <w:rFonts w:ascii="Calibri" w:hAnsi="Calibri" w:cs="Calibri"/>
              </w:rPr>
              <w:lastRenderedPageBreak/>
              <w:t>progress on areas of interest to the CAFF and/or PAME Working Groups.</w:t>
            </w:r>
            <w:r>
              <w:rPr>
                <w:rFonts w:ascii="Calibri" w:hAnsi="Calibri" w:cs="Calibri"/>
              </w:rPr>
              <w:t xml:space="preserve"> </w:t>
            </w:r>
          </w:p>
          <w:p w14:paraId="01CA2D38" w14:textId="05D0DFA1" w:rsidR="007260FE" w:rsidRPr="00CC298A" w:rsidRDefault="002C3E26" w:rsidP="00CC298A">
            <w:pPr>
              <w:spacing w:before="80" w:after="80"/>
              <w:rPr>
                <w:rFonts w:ascii="Calibri" w:hAnsi="Calibri" w:cs="Calibri"/>
              </w:rPr>
            </w:pPr>
            <w:r w:rsidRPr="00060D88">
              <w:rPr>
                <w:rFonts w:ascii="Calibri" w:hAnsi="Calibri" w:cs="Calibri"/>
              </w:rPr>
              <w:t>Any joint projects will need to be approved by both the CAFF and PAME (for marine) and by CAFF (for terrestrial).</w:t>
            </w:r>
          </w:p>
        </w:tc>
        <w:tc>
          <w:tcPr>
            <w:tcW w:w="2252" w:type="dxa"/>
          </w:tcPr>
          <w:p w14:paraId="443573AB" w14:textId="3EAD4566" w:rsidR="007260FE" w:rsidRPr="00721CE8" w:rsidRDefault="002C3E26" w:rsidP="004F006B">
            <w:pPr>
              <w:jc w:val="left"/>
              <w:rPr>
                <w:i/>
              </w:rPr>
            </w:pPr>
            <w:r w:rsidRPr="00060D88">
              <w:rPr>
                <w:rFonts w:ascii="Calibri" w:hAnsi="Calibri" w:cs="Calibri"/>
                <w:i/>
              </w:rPr>
              <w:lastRenderedPageBreak/>
              <w:t>Implementation Coordination Group (CG) co-led by CAFF and PAME)</w:t>
            </w:r>
          </w:p>
        </w:tc>
      </w:tr>
      <w:tr w:rsidR="008755BE" w14:paraId="4138DFB4" w14:textId="77777777" w:rsidTr="00430A42">
        <w:tc>
          <w:tcPr>
            <w:tcW w:w="9046" w:type="dxa"/>
            <w:gridSpan w:val="3"/>
            <w:tcBorders>
              <w:top w:val="single" w:sz="8" w:space="0" w:color="auto"/>
              <w:left w:val="single" w:sz="8" w:space="0" w:color="auto"/>
              <w:bottom w:val="single" w:sz="8" w:space="0" w:color="auto"/>
              <w:right w:val="single" w:sz="8" w:space="0" w:color="auto"/>
            </w:tcBorders>
            <w:shd w:val="clear" w:color="auto" w:fill="ED7D31" w:themeFill="accent2"/>
          </w:tcPr>
          <w:p w14:paraId="7D36FA9A" w14:textId="77777777" w:rsidR="008755BE" w:rsidRPr="003E1EDC" w:rsidRDefault="008755BE" w:rsidP="00AE03C7">
            <w:pPr>
              <w:jc w:val="center"/>
              <w:rPr>
                <w:b/>
              </w:rPr>
            </w:pPr>
            <w:r w:rsidRPr="003E1EDC">
              <w:rPr>
                <w:b/>
                <w:color w:val="FFFFFF" w:themeColor="background1"/>
              </w:rPr>
              <w:t xml:space="preserve">Arctic Marine </w:t>
            </w:r>
            <w:r>
              <w:rPr>
                <w:b/>
                <w:color w:val="FFFFFF" w:themeColor="background1"/>
              </w:rPr>
              <w:t>Pollution</w:t>
            </w:r>
          </w:p>
        </w:tc>
      </w:tr>
      <w:tr w:rsidR="008755BE" w14:paraId="75657443" w14:textId="77777777" w:rsidTr="00430A42">
        <w:tc>
          <w:tcPr>
            <w:tcW w:w="2542" w:type="dxa"/>
            <w:tcBorders>
              <w:top w:val="single" w:sz="8" w:space="0" w:color="auto"/>
              <w:right w:val="nil"/>
            </w:tcBorders>
            <w:shd w:val="clear" w:color="auto" w:fill="F2F2F2" w:themeFill="background1" w:themeFillShade="F2"/>
          </w:tcPr>
          <w:p w14:paraId="3DEADCAD" w14:textId="77777777" w:rsidR="008755BE" w:rsidRDefault="008755BE" w:rsidP="00AE03C7">
            <w:pPr>
              <w:jc w:val="center"/>
            </w:pPr>
            <w:r>
              <w:t>Project/activity</w:t>
            </w:r>
          </w:p>
        </w:tc>
        <w:tc>
          <w:tcPr>
            <w:tcW w:w="4252" w:type="dxa"/>
            <w:tcBorders>
              <w:top w:val="single" w:sz="8" w:space="0" w:color="auto"/>
              <w:left w:val="nil"/>
              <w:right w:val="nil"/>
            </w:tcBorders>
            <w:shd w:val="clear" w:color="auto" w:fill="F2F2F2" w:themeFill="background1" w:themeFillShade="F2"/>
          </w:tcPr>
          <w:p w14:paraId="76209BFB" w14:textId="77777777" w:rsidR="008755BE" w:rsidRDefault="008755BE" w:rsidP="00AE03C7">
            <w:pPr>
              <w:jc w:val="center"/>
            </w:pPr>
            <w:r>
              <w:t>Description</w:t>
            </w:r>
          </w:p>
        </w:tc>
        <w:tc>
          <w:tcPr>
            <w:tcW w:w="2252" w:type="dxa"/>
            <w:tcBorders>
              <w:top w:val="single" w:sz="8" w:space="0" w:color="auto"/>
              <w:left w:val="nil"/>
            </w:tcBorders>
            <w:shd w:val="clear" w:color="auto" w:fill="F2F2F2" w:themeFill="background1" w:themeFillShade="F2"/>
          </w:tcPr>
          <w:p w14:paraId="5C0CE2CB" w14:textId="77777777" w:rsidR="008755BE" w:rsidRDefault="008755BE" w:rsidP="00AE03C7">
            <w:pPr>
              <w:jc w:val="center"/>
            </w:pPr>
            <w:r w:rsidRPr="00B4580D">
              <w:t>Lead(s) and partners</w:t>
            </w:r>
          </w:p>
        </w:tc>
      </w:tr>
      <w:tr w:rsidR="008755BE" w14:paraId="4D7EEB0B" w14:textId="77777777" w:rsidTr="00430A42">
        <w:tc>
          <w:tcPr>
            <w:tcW w:w="2542" w:type="dxa"/>
          </w:tcPr>
          <w:p w14:paraId="502A2B78" w14:textId="77777777" w:rsidR="008755BE" w:rsidRDefault="007260FE" w:rsidP="003A4AD1">
            <w:pPr>
              <w:jc w:val="left"/>
              <w:rPr>
                <w:b/>
              </w:rPr>
            </w:pPr>
            <w:r w:rsidRPr="00700DE1">
              <w:rPr>
                <w:b/>
              </w:rPr>
              <w:t>Regional Action Plan on Marine Litter</w:t>
            </w:r>
          </w:p>
          <w:p w14:paraId="7CD2819E" w14:textId="77777777" w:rsidR="008E31D7" w:rsidRPr="00700DE1" w:rsidRDefault="008E31D7" w:rsidP="003A4AD1">
            <w:pPr>
              <w:jc w:val="left"/>
              <w:rPr>
                <w:b/>
              </w:rPr>
            </w:pPr>
            <w:r>
              <w:rPr>
                <w:i/>
              </w:rPr>
              <w:t>Annex VI</w:t>
            </w:r>
          </w:p>
        </w:tc>
        <w:tc>
          <w:tcPr>
            <w:tcW w:w="4252" w:type="dxa"/>
          </w:tcPr>
          <w:p w14:paraId="79939857" w14:textId="77777777" w:rsidR="00D4533C" w:rsidRDefault="00D4533C" w:rsidP="00D4533C">
            <w:pPr>
              <w:rPr>
                <w:lang w:eastAsia="is-IS"/>
              </w:rPr>
            </w:pPr>
            <w:r w:rsidRPr="009A7204">
              <w:rPr>
                <w:rFonts w:ascii="Calibri" w:hAnsi="Calibri"/>
                <w:color w:val="000000" w:themeColor="text1"/>
              </w:rPr>
              <w:t xml:space="preserve">To develop </w:t>
            </w:r>
            <w:r>
              <w:rPr>
                <w:rFonts w:ascii="Calibri" w:hAnsi="Calibri"/>
                <w:color w:val="000000" w:themeColor="text1"/>
              </w:rPr>
              <w:t xml:space="preserve">a </w:t>
            </w:r>
            <w:r w:rsidRPr="009A7204">
              <w:rPr>
                <w:rFonts w:ascii="Calibri" w:hAnsi="Calibri"/>
                <w:color w:val="000000" w:themeColor="text1"/>
              </w:rPr>
              <w:t xml:space="preserve">Regional Action Plan on Marine Litter </w:t>
            </w:r>
            <w:r>
              <w:rPr>
                <w:rFonts w:ascii="Calibri" w:hAnsi="Calibri"/>
                <w:color w:val="000000" w:themeColor="text1"/>
              </w:rPr>
              <w:t xml:space="preserve">in the Arctic (RAP-ML) </w:t>
            </w:r>
            <w:r w:rsidRPr="009A7204">
              <w:rPr>
                <w:rFonts w:ascii="Calibri" w:hAnsi="Calibri"/>
                <w:color w:val="000000" w:themeColor="text1"/>
              </w:rPr>
              <w:t xml:space="preserve">addressing </w:t>
            </w:r>
            <w:r w:rsidRPr="009A7204">
              <w:rPr>
                <w:rFonts w:ascii="Calibri" w:hAnsi="Calibri"/>
                <w:iCs/>
                <w:color w:val="000000" w:themeColor="text1"/>
              </w:rPr>
              <w:t>both sea and land-based activities, focusing on Arctic-specific marine litter sources and pathways</w:t>
            </w:r>
            <w:r w:rsidRPr="009A7204">
              <w:rPr>
                <w:rFonts w:ascii="Calibri" w:hAnsi="Calibri"/>
                <w:color w:val="000000" w:themeColor="text1"/>
              </w:rPr>
              <w:t xml:space="preserve">, </w:t>
            </w:r>
            <w:r w:rsidRPr="009A7204">
              <w:t xml:space="preserve">which will play an important role in demonstrating Arctic States’ stewardship efforts </w:t>
            </w:r>
            <w:r w:rsidRPr="009A7204">
              <w:rPr>
                <w:lang w:eastAsia="is-IS"/>
              </w:rPr>
              <w:t>towards reducing the negative impacts of marine litter, including microplastics, to the Arctic marine environment.</w:t>
            </w:r>
            <w:r>
              <w:rPr>
                <w:lang w:eastAsia="is-IS"/>
              </w:rPr>
              <w:t xml:space="preserve"> </w:t>
            </w:r>
            <w:r w:rsidRPr="003736C8">
              <w:rPr>
                <w:lang w:eastAsia="is-IS"/>
              </w:rPr>
              <w:t>The RAP</w:t>
            </w:r>
            <w:r>
              <w:rPr>
                <w:lang w:eastAsia="is-IS"/>
              </w:rPr>
              <w:t>-ML</w:t>
            </w:r>
            <w:r w:rsidRPr="003736C8">
              <w:rPr>
                <w:lang w:eastAsia="is-IS"/>
              </w:rPr>
              <w:t xml:space="preserve"> may be updated in subsequent </w:t>
            </w:r>
            <w:proofErr w:type="spellStart"/>
            <w:r w:rsidRPr="003736C8">
              <w:rPr>
                <w:lang w:eastAsia="is-IS"/>
              </w:rPr>
              <w:t>bienniums</w:t>
            </w:r>
            <w:proofErr w:type="spellEnd"/>
            <w:r w:rsidRPr="003736C8">
              <w:rPr>
                <w:lang w:eastAsia="is-IS"/>
              </w:rPr>
              <w:t xml:space="preserve"> to address </w:t>
            </w:r>
            <w:r w:rsidRPr="003736C8">
              <w:t>new and emerging information and priorities</w:t>
            </w:r>
            <w:r w:rsidRPr="003736C8">
              <w:rPr>
                <w:lang w:eastAsia="is-IS"/>
              </w:rPr>
              <w:t xml:space="preserve">; </w:t>
            </w:r>
            <w:proofErr w:type="gramStart"/>
            <w:r w:rsidRPr="003736C8">
              <w:rPr>
                <w:lang w:eastAsia="is-IS"/>
              </w:rPr>
              <w:t>therefore</w:t>
            </w:r>
            <w:proofErr w:type="gramEnd"/>
            <w:r w:rsidRPr="003736C8">
              <w:rPr>
                <w:lang w:eastAsia="is-IS"/>
              </w:rPr>
              <w:t xml:space="preserve"> the structure needs to </w:t>
            </w:r>
            <w:r w:rsidRPr="003736C8">
              <w:t>be realistic and adaptable.</w:t>
            </w:r>
          </w:p>
          <w:p w14:paraId="2E484D0C" w14:textId="77777777" w:rsidR="00D4533C" w:rsidRPr="003736C8" w:rsidRDefault="00D4533C" w:rsidP="00D4533C">
            <w:pPr>
              <w:rPr>
                <w:rFonts w:ascii="Calibri" w:hAnsi="Calibri"/>
                <w:color w:val="000000" w:themeColor="text1"/>
              </w:rPr>
            </w:pPr>
            <w:proofErr w:type="spellStart"/>
            <w:r w:rsidRPr="003736C8">
              <w:rPr>
                <w:rFonts w:ascii="Calibri" w:hAnsi="Calibri"/>
                <w:color w:val="000000" w:themeColor="text1"/>
              </w:rPr>
              <w:t>Collaboratation</w:t>
            </w:r>
            <w:proofErr w:type="spellEnd"/>
            <w:r w:rsidRPr="003736C8">
              <w:rPr>
                <w:rFonts w:ascii="Calibri" w:hAnsi="Calibri"/>
                <w:color w:val="000000" w:themeColor="text1"/>
              </w:rPr>
              <w:t xml:space="preserve"> with other Arctic Council working groups working on marine litter activities, and others as relevant to marine litter in the Arctic to ensure that this work is </w:t>
            </w:r>
            <w:proofErr w:type="spellStart"/>
            <w:r w:rsidRPr="003736C8">
              <w:rPr>
                <w:rFonts w:ascii="Calibri" w:hAnsi="Calibri"/>
                <w:color w:val="000000" w:themeColor="text1"/>
              </w:rPr>
              <w:t>adaquetly</w:t>
            </w:r>
            <w:proofErr w:type="spellEnd"/>
            <w:r w:rsidRPr="003736C8">
              <w:rPr>
                <w:rFonts w:ascii="Calibri" w:hAnsi="Calibri"/>
                <w:color w:val="000000" w:themeColor="text1"/>
              </w:rPr>
              <w:t xml:space="preserve"> reflected in the first version of the Regional Action Plan.</w:t>
            </w:r>
          </w:p>
          <w:p w14:paraId="32C3813C" w14:textId="391FCF66" w:rsidR="008755BE" w:rsidRPr="00CC298A" w:rsidRDefault="00D4533C" w:rsidP="00CC298A">
            <w:pPr>
              <w:rPr>
                <w:rFonts w:ascii="Calibri" w:hAnsi="Calibri"/>
                <w:color w:val="000000" w:themeColor="text1"/>
              </w:rPr>
            </w:pPr>
            <w:r>
              <w:rPr>
                <w:rFonts w:ascii="Calibri" w:hAnsi="Calibri"/>
                <w:color w:val="000000" w:themeColor="text1"/>
              </w:rPr>
              <w:t>T</w:t>
            </w:r>
            <w:r w:rsidRPr="003736C8">
              <w:rPr>
                <w:rFonts w:ascii="Calibri" w:hAnsi="Calibri"/>
                <w:color w:val="000000" w:themeColor="text1"/>
              </w:rPr>
              <w:t>he development of outreach and communication material</w:t>
            </w:r>
            <w:r>
              <w:rPr>
                <w:rFonts w:ascii="Calibri" w:hAnsi="Calibri"/>
                <w:color w:val="000000" w:themeColor="text1"/>
              </w:rPr>
              <w:t xml:space="preserve"> will continue as a part of the project.</w:t>
            </w:r>
          </w:p>
        </w:tc>
        <w:tc>
          <w:tcPr>
            <w:tcW w:w="2252" w:type="dxa"/>
          </w:tcPr>
          <w:p w14:paraId="61836B28" w14:textId="269332B5" w:rsidR="00D4533C" w:rsidRDefault="00D4533C" w:rsidP="003A4AD1">
            <w:pPr>
              <w:jc w:val="left"/>
              <w:rPr>
                <w:rFonts w:ascii="Calibri" w:hAnsi="Calibri"/>
                <w:i/>
                <w:color w:val="000000" w:themeColor="text1"/>
              </w:rPr>
            </w:pPr>
            <w:r w:rsidRPr="001C168A">
              <w:rPr>
                <w:rFonts w:ascii="Calibri" w:hAnsi="Calibri"/>
                <w:i/>
                <w:color w:val="000000" w:themeColor="text1"/>
              </w:rPr>
              <w:t>Iceland, Norway, Sweden, Canada (TBC), USA (TBC), AIA (tbc) and OSPAR)</w:t>
            </w:r>
          </w:p>
          <w:p w14:paraId="2CBAD4F0" w14:textId="77777777" w:rsidR="00D4533C" w:rsidRDefault="00D4533C" w:rsidP="003A4AD1">
            <w:pPr>
              <w:jc w:val="left"/>
              <w:rPr>
                <w:rFonts w:ascii="Calibri" w:hAnsi="Calibri"/>
                <w:i/>
                <w:color w:val="000000" w:themeColor="text1"/>
              </w:rPr>
            </w:pPr>
          </w:p>
          <w:p w14:paraId="213A1D33" w14:textId="09B2D5A5" w:rsidR="008517CB" w:rsidRDefault="008E31D7" w:rsidP="003A4AD1">
            <w:pPr>
              <w:jc w:val="left"/>
            </w:pPr>
            <w:r>
              <w:rPr>
                <w:rFonts w:ascii="Calibri" w:hAnsi="Calibri"/>
                <w:i/>
                <w:color w:val="000000" w:themeColor="text1"/>
              </w:rPr>
              <w:t>Collaboration with other w</w:t>
            </w:r>
            <w:r w:rsidR="008517CB">
              <w:rPr>
                <w:rFonts w:ascii="Calibri" w:hAnsi="Calibri"/>
                <w:i/>
                <w:color w:val="000000" w:themeColor="text1"/>
              </w:rPr>
              <w:t>orking group</w:t>
            </w:r>
            <w:r>
              <w:rPr>
                <w:rFonts w:ascii="Calibri" w:hAnsi="Calibri"/>
                <w:i/>
                <w:color w:val="000000" w:themeColor="text1"/>
              </w:rPr>
              <w:t>s</w:t>
            </w:r>
          </w:p>
        </w:tc>
      </w:tr>
      <w:tr w:rsidR="008755BE" w14:paraId="782B6101" w14:textId="77777777" w:rsidTr="00430A42">
        <w:tc>
          <w:tcPr>
            <w:tcW w:w="9046" w:type="dxa"/>
            <w:gridSpan w:val="3"/>
            <w:tcBorders>
              <w:top w:val="single" w:sz="8" w:space="0" w:color="auto"/>
              <w:left w:val="single" w:sz="8" w:space="0" w:color="auto"/>
              <w:bottom w:val="single" w:sz="8" w:space="0" w:color="auto"/>
              <w:right w:val="single" w:sz="8" w:space="0" w:color="auto"/>
            </w:tcBorders>
            <w:shd w:val="clear" w:color="auto" w:fill="ED7D31" w:themeFill="accent2"/>
          </w:tcPr>
          <w:p w14:paraId="190BE3B5" w14:textId="73E326D6" w:rsidR="008755BE" w:rsidRPr="00835E32" w:rsidRDefault="008E31D7" w:rsidP="00AE03C7">
            <w:pPr>
              <w:jc w:val="center"/>
              <w:rPr>
                <w:b/>
                <w:color w:val="FFFFFF" w:themeColor="background1"/>
              </w:rPr>
            </w:pPr>
            <w:r w:rsidRPr="00835E32">
              <w:rPr>
                <w:b/>
                <w:color w:val="FFFFFF" w:themeColor="background1"/>
              </w:rPr>
              <w:t>Strategic</w:t>
            </w:r>
            <w:r w:rsidR="00835E32">
              <w:rPr>
                <w:b/>
                <w:color w:val="FFFFFF" w:themeColor="background1"/>
              </w:rPr>
              <w:t xml:space="preserve"> </w:t>
            </w:r>
            <w:r w:rsidRPr="00835E32">
              <w:rPr>
                <w:b/>
                <w:color w:val="FFFFFF" w:themeColor="background1"/>
              </w:rPr>
              <w:t>Documents</w:t>
            </w:r>
          </w:p>
        </w:tc>
      </w:tr>
      <w:tr w:rsidR="008755BE" w14:paraId="4EF639D2" w14:textId="77777777" w:rsidTr="00430A42">
        <w:tc>
          <w:tcPr>
            <w:tcW w:w="2542" w:type="dxa"/>
            <w:tcBorders>
              <w:top w:val="single" w:sz="8" w:space="0" w:color="auto"/>
              <w:right w:val="nil"/>
            </w:tcBorders>
            <w:shd w:val="clear" w:color="auto" w:fill="F2F2F2" w:themeFill="background1" w:themeFillShade="F2"/>
          </w:tcPr>
          <w:p w14:paraId="333563CB" w14:textId="77777777" w:rsidR="008755BE" w:rsidRPr="00D44240" w:rsidRDefault="008755BE" w:rsidP="00AE03C7">
            <w:pPr>
              <w:jc w:val="center"/>
              <w:rPr>
                <w:i/>
              </w:rPr>
            </w:pPr>
            <w:r w:rsidRPr="00D44240">
              <w:rPr>
                <w:i/>
              </w:rPr>
              <w:t>Project/activity</w:t>
            </w:r>
          </w:p>
        </w:tc>
        <w:tc>
          <w:tcPr>
            <w:tcW w:w="4252" w:type="dxa"/>
            <w:tcBorders>
              <w:top w:val="single" w:sz="8" w:space="0" w:color="auto"/>
              <w:left w:val="nil"/>
              <w:right w:val="nil"/>
            </w:tcBorders>
            <w:shd w:val="clear" w:color="auto" w:fill="F2F2F2" w:themeFill="background1" w:themeFillShade="F2"/>
          </w:tcPr>
          <w:p w14:paraId="2242231D" w14:textId="77777777" w:rsidR="008755BE" w:rsidRPr="00D44240" w:rsidRDefault="008755BE" w:rsidP="00AE03C7">
            <w:pPr>
              <w:jc w:val="center"/>
              <w:rPr>
                <w:i/>
              </w:rPr>
            </w:pPr>
            <w:r w:rsidRPr="00D44240">
              <w:rPr>
                <w:i/>
              </w:rPr>
              <w:t>Description</w:t>
            </w:r>
          </w:p>
        </w:tc>
        <w:tc>
          <w:tcPr>
            <w:tcW w:w="2252" w:type="dxa"/>
            <w:tcBorders>
              <w:top w:val="single" w:sz="8" w:space="0" w:color="auto"/>
              <w:left w:val="nil"/>
            </w:tcBorders>
            <w:shd w:val="clear" w:color="auto" w:fill="F2F2F2" w:themeFill="background1" w:themeFillShade="F2"/>
          </w:tcPr>
          <w:p w14:paraId="5E49C422" w14:textId="77777777" w:rsidR="008755BE" w:rsidRPr="00D44240" w:rsidRDefault="008755BE" w:rsidP="00AE03C7">
            <w:pPr>
              <w:jc w:val="center"/>
              <w:rPr>
                <w:i/>
              </w:rPr>
            </w:pPr>
            <w:r w:rsidRPr="00D44240">
              <w:rPr>
                <w:i/>
              </w:rPr>
              <w:t>Lead(s) and partners</w:t>
            </w:r>
          </w:p>
        </w:tc>
      </w:tr>
      <w:tr w:rsidR="008755BE" w14:paraId="5FE39E61" w14:textId="77777777" w:rsidTr="00430A42">
        <w:tc>
          <w:tcPr>
            <w:tcW w:w="2542" w:type="dxa"/>
          </w:tcPr>
          <w:p w14:paraId="57151597" w14:textId="77777777" w:rsidR="008755BE" w:rsidRDefault="008755BE" w:rsidP="003A4AD1">
            <w:pPr>
              <w:jc w:val="left"/>
            </w:pPr>
            <w:r w:rsidRPr="00B93B2E">
              <w:rPr>
                <w:rFonts w:ascii="Calibri" w:hAnsi="Calibri" w:cs="Calibri"/>
                <w:b/>
                <w:bCs/>
                <w:i/>
                <w:iCs/>
                <w:color w:val="000000"/>
                <w:szCs w:val="24"/>
                <w:lang w:val="en-GB"/>
              </w:rPr>
              <w:t>AMSP Implementation Status Report 201</w:t>
            </w:r>
            <w:r w:rsidR="00D77E47">
              <w:rPr>
                <w:rFonts w:ascii="Calibri" w:hAnsi="Calibri" w:cs="Calibri"/>
                <w:b/>
                <w:bCs/>
                <w:i/>
                <w:iCs/>
                <w:color w:val="000000"/>
                <w:szCs w:val="24"/>
                <w:lang w:val="en-GB"/>
              </w:rPr>
              <w:t>9</w:t>
            </w:r>
            <w:r w:rsidRPr="00B93B2E">
              <w:rPr>
                <w:rFonts w:ascii="Calibri" w:hAnsi="Calibri" w:cs="Calibri"/>
                <w:b/>
                <w:bCs/>
                <w:i/>
                <w:iCs/>
                <w:color w:val="000000"/>
                <w:szCs w:val="24"/>
                <w:lang w:val="en-GB"/>
              </w:rPr>
              <w:t>-20</w:t>
            </w:r>
            <w:r w:rsidR="00D77E47">
              <w:rPr>
                <w:rFonts w:ascii="Calibri" w:hAnsi="Calibri" w:cs="Calibri"/>
                <w:b/>
                <w:bCs/>
                <w:i/>
                <w:iCs/>
                <w:color w:val="000000"/>
                <w:szCs w:val="24"/>
                <w:lang w:val="en-GB"/>
              </w:rPr>
              <w:t>21</w:t>
            </w:r>
          </w:p>
        </w:tc>
        <w:tc>
          <w:tcPr>
            <w:tcW w:w="4252" w:type="dxa"/>
          </w:tcPr>
          <w:p w14:paraId="5EEA15B3" w14:textId="77777777" w:rsidR="008755BE" w:rsidRDefault="008755BE" w:rsidP="003A4AD1">
            <w:pPr>
              <w:jc w:val="left"/>
            </w:pPr>
            <w:r>
              <w:rPr>
                <w:lang w:eastAsia="en-GB"/>
              </w:rPr>
              <w:t xml:space="preserve">To track progress on implementation of the AMSP forty strategic actions </w:t>
            </w:r>
            <w:r w:rsidRPr="00B93B2E">
              <w:rPr>
                <w:lang w:val="en-GB"/>
              </w:rPr>
              <w:t>and develop an AMSP Implementation Status Report in collaboration with other Arctic Council working groups</w:t>
            </w:r>
            <w:r>
              <w:rPr>
                <w:lang w:val="en-GB"/>
              </w:rPr>
              <w:t xml:space="preserve"> for the period 2019-2021</w:t>
            </w:r>
            <w:r w:rsidRPr="00B93B2E">
              <w:rPr>
                <w:lang w:val="en-GB"/>
              </w:rPr>
              <w:t xml:space="preserve"> for submission to the Arctic Council Ministerial meeting in 20</w:t>
            </w:r>
            <w:r>
              <w:rPr>
                <w:lang w:val="en-GB"/>
              </w:rPr>
              <w:t>21</w:t>
            </w:r>
            <w:r w:rsidRPr="00B93B2E">
              <w:rPr>
                <w:lang w:val="en-GB"/>
              </w:rPr>
              <w:t>.</w:t>
            </w:r>
          </w:p>
        </w:tc>
        <w:tc>
          <w:tcPr>
            <w:tcW w:w="2252" w:type="dxa"/>
          </w:tcPr>
          <w:p w14:paraId="554F57AE" w14:textId="77777777" w:rsidR="008755BE" w:rsidRPr="008E31D7" w:rsidRDefault="008755BE" w:rsidP="003A4AD1">
            <w:pPr>
              <w:jc w:val="left"/>
              <w:rPr>
                <w:i/>
              </w:rPr>
            </w:pPr>
            <w:r w:rsidRPr="008E31D7">
              <w:rPr>
                <w:i/>
              </w:rPr>
              <w:t xml:space="preserve">PAME </w:t>
            </w:r>
            <w:proofErr w:type="spellStart"/>
            <w:r w:rsidRPr="008E31D7">
              <w:rPr>
                <w:i/>
              </w:rPr>
              <w:t>HoDs</w:t>
            </w:r>
            <w:proofErr w:type="spellEnd"/>
            <w:r w:rsidRPr="008E31D7">
              <w:rPr>
                <w:i/>
              </w:rPr>
              <w:t>, PAME Secretariat</w:t>
            </w:r>
          </w:p>
        </w:tc>
      </w:tr>
    </w:tbl>
    <w:bookmarkStart w:id="13" w:name="_GoBack"/>
    <w:bookmarkEnd w:id="13"/>
    <w:p w14:paraId="6C2E5045" w14:textId="77777777" w:rsidR="0069696B" w:rsidRDefault="0069696B" w:rsidP="003A4AD1">
      <w:pPr>
        <w:jc w:val="left"/>
        <w:rPr>
          <w:b/>
        </w:rPr>
      </w:pPr>
      <w:r w:rsidRPr="0059382B">
        <w:rPr>
          <w:b/>
          <w:noProof/>
          <w:lang w:val="en-GB" w:eastAsia="en-GB"/>
        </w:rPr>
        <w:lastRenderedPageBreak/>
        <mc:AlternateContent>
          <mc:Choice Requires="wps">
            <w:drawing>
              <wp:inline distT="0" distB="0" distL="0" distR="0" wp14:anchorId="00E890F9" wp14:editId="542B34A7">
                <wp:extent cx="5727700" cy="1257300"/>
                <wp:effectExtent l="0" t="0" r="12700" b="12700"/>
                <wp:docPr id="2" name="Rectangle 2"/>
                <wp:cNvGraphicFramePr/>
                <a:graphic xmlns:a="http://schemas.openxmlformats.org/drawingml/2006/main">
                  <a:graphicData uri="http://schemas.microsoft.com/office/word/2010/wordprocessingShape">
                    <wps:wsp>
                      <wps:cNvSpPr/>
                      <wps:spPr>
                        <a:xfrm>
                          <a:off x="0" y="0"/>
                          <a:ext cx="5727700" cy="1257300"/>
                        </a:xfrm>
                        <a:prstGeom prst="rect">
                          <a:avLst/>
                        </a:prstGeom>
                        <a:solidFill>
                          <a:schemeClr val="accent6"/>
                        </a:solidFill>
                      </wps:spPr>
                      <wps:style>
                        <a:lnRef idx="1">
                          <a:schemeClr val="accent1"/>
                        </a:lnRef>
                        <a:fillRef idx="3">
                          <a:schemeClr val="accent1"/>
                        </a:fillRef>
                        <a:effectRef idx="2">
                          <a:schemeClr val="accent1"/>
                        </a:effectRef>
                        <a:fontRef idx="minor">
                          <a:schemeClr val="lt1"/>
                        </a:fontRef>
                      </wps:style>
                      <wps:txbx>
                        <w:txbxContent>
                          <w:p w14:paraId="2E897CAF" w14:textId="77777777" w:rsidR="0069696B" w:rsidRPr="009E1BB3" w:rsidRDefault="0069696B" w:rsidP="0069696B">
                            <w:pPr>
                              <w:jc w:val="center"/>
                              <w:rPr>
                                <w:sz w:val="32"/>
                                <w:szCs w:val="32"/>
                              </w:rPr>
                            </w:pPr>
                            <w:r w:rsidRPr="00B36780">
                              <w:rPr>
                                <w:b/>
                                <w:sz w:val="32"/>
                                <w:szCs w:val="32"/>
                                <w:u w:val="single"/>
                              </w:rPr>
                              <w:t>A</w:t>
                            </w:r>
                            <w:r w:rsidR="00C5458E" w:rsidRPr="00B36780">
                              <w:rPr>
                                <w:b/>
                                <w:sz w:val="32"/>
                                <w:szCs w:val="32"/>
                                <w:u w:val="single"/>
                              </w:rPr>
                              <w:t>MSP: GOAL 2</w:t>
                            </w:r>
                            <w:r w:rsidR="00C5458E" w:rsidRPr="00B36780">
                              <w:rPr>
                                <w:b/>
                                <w:sz w:val="32"/>
                                <w:szCs w:val="32"/>
                              </w:rPr>
                              <w:br/>
                            </w:r>
                            <w:r w:rsidRPr="009E1BB3">
                              <w:rPr>
                                <w:b/>
                                <w:i/>
                                <w:sz w:val="32"/>
                                <w:szCs w:val="32"/>
                              </w:rPr>
                              <w:t>Conserve and protect ecosystem function and marine biodiversity to enhance resilience and the provision of ecosystem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E890F9" id="Rectangle 2" o:spid="_x0000_s1027" style="width:451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" fillcolor="#70ad47 [3209]" strokecolor="#4472c4 [3204]" strokeweight=".5pt">
                <v:textbox>
                  <w:txbxContent>
                    <w:p w14:paraId="2E897CAF" w14:textId="77777777" w:rsidR="0069696B" w:rsidRPr="009E1BB3" w:rsidRDefault="0069696B" w:rsidP="0069696B">
                      <w:pPr>
                        <w:jc w:val="center"/>
                        <w:rPr>
                          <w:sz w:val="32"/>
                          <w:szCs w:val="32"/>
                        </w:rPr>
                      </w:pPr>
                      <w:r w:rsidRPr="00B36780">
                        <w:rPr>
                          <w:b/>
                          <w:sz w:val="32"/>
                          <w:szCs w:val="32"/>
                          <w:u w:val="single"/>
                        </w:rPr>
                        <w:t>A</w:t>
                      </w:r>
                      <w:r w:rsidR="00C5458E" w:rsidRPr="00B36780">
                        <w:rPr>
                          <w:b/>
                          <w:sz w:val="32"/>
                          <w:szCs w:val="32"/>
                          <w:u w:val="single"/>
                        </w:rPr>
                        <w:t>MSP: GOAL 2</w:t>
                      </w:r>
                      <w:r w:rsidR="00C5458E" w:rsidRPr="00B36780">
                        <w:rPr>
                          <w:b/>
                          <w:sz w:val="32"/>
                          <w:szCs w:val="32"/>
                        </w:rPr>
                        <w:br/>
                      </w:r>
                      <w:r w:rsidRPr="009E1BB3">
                        <w:rPr>
                          <w:b/>
                          <w:i/>
                          <w:sz w:val="32"/>
                          <w:szCs w:val="32"/>
                        </w:rPr>
                        <w:t>Conserve and protect ecosystem function and marine biodiversity to enhance resilience and the provision of ecosystem services.</w:t>
                      </w:r>
                    </w:p>
                  </w:txbxContent>
                </v:textbox>
                <w10:anchorlock/>
              </v:rect>
            </w:pict>
          </mc:Fallback>
        </mc:AlternateContent>
      </w:r>
    </w:p>
    <w:p w14:paraId="47CA5729" w14:textId="77777777" w:rsidR="0069696B" w:rsidRDefault="0069696B" w:rsidP="003A4AD1">
      <w:pPr>
        <w:jc w:val="left"/>
        <w:rPr>
          <w:b/>
        </w:rPr>
      </w:pPr>
    </w:p>
    <w:p w14:paraId="387E8F8B" w14:textId="77777777" w:rsidR="0069696B" w:rsidRDefault="0069696B" w:rsidP="003A4AD1">
      <w:pPr>
        <w:jc w:val="left"/>
      </w:pPr>
      <w:r w:rsidRPr="00887BE4">
        <w:rPr>
          <w:b/>
        </w:rPr>
        <w:t>BACKGROUND</w:t>
      </w:r>
      <w:r>
        <w:t>:</w:t>
      </w:r>
    </w:p>
    <w:p w14:paraId="6A55A48E" w14:textId="77777777" w:rsidR="0069696B" w:rsidRDefault="0069696B" w:rsidP="003A4AD1">
      <w:pPr>
        <w:jc w:val="left"/>
      </w:pPr>
      <w:r w:rsidRPr="00F476C5">
        <w:t>Arctic marine ecosystems are under increasing pressure from multiple stressors including climate change, ocean acidification, lon</w:t>
      </w:r>
      <w:r>
        <w:t>g-</w:t>
      </w:r>
      <w:r w:rsidRPr="00F476C5">
        <w:t>range pollution</w:t>
      </w:r>
      <w:r>
        <w:t>, invasive species</w:t>
      </w:r>
      <w:r w:rsidRPr="00F476C5">
        <w:t xml:space="preserve"> and increased human activities</w:t>
      </w:r>
      <w:r>
        <w:t xml:space="preserve">. These stressors, individual and cumulative, pose a challenge to the health and sustained viability of Arctic marine ecosystems. </w:t>
      </w:r>
      <w:r w:rsidRPr="00F476C5">
        <w:t xml:space="preserve">Stressors often exacerbate one another, leading to </w:t>
      </w:r>
      <w:r>
        <w:t xml:space="preserve">amplified </w:t>
      </w:r>
      <w:r w:rsidRPr="00F476C5">
        <w:t xml:space="preserve">cumulative impacts. Adding to that is the complex and trans-boundary nature of those stressors, which means that solutions often will require international </w:t>
      </w:r>
      <w:r>
        <w:t xml:space="preserve">and regional </w:t>
      </w:r>
      <w:r w:rsidRPr="00F476C5">
        <w:t>co-operation</w:t>
      </w:r>
      <w:r>
        <w:t>.</w:t>
      </w:r>
    </w:p>
    <w:p w14:paraId="7296CC5A" w14:textId="77777777" w:rsidR="0069696B" w:rsidRDefault="0069696B" w:rsidP="003A4AD1">
      <w:pPr>
        <w:jc w:val="left"/>
        <w:rPr>
          <w:lang w:val="nb-NO"/>
        </w:rPr>
      </w:pPr>
      <w:r w:rsidRPr="00F476C5">
        <w:t xml:space="preserve">Arctic ecosystem services are of local, regional and global importance. </w:t>
      </w:r>
      <w:r>
        <w:t>Taking an ecosystem approach to management (EA) can enhance</w:t>
      </w:r>
      <w:r w:rsidRPr="00F476C5">
        <w:t xml:space="preserve"> the resilience of marine and coastal biodiversity</w:t>
      </w:r>
      <w:r>
        <w:t xml:space="preserve"> and</w:t>
      </w:r>
      <w:r w:rsidRPr="00F34DF7">
        <w:t xml:space="preserve"> </w:t>
      </w:r>
      <w:r w:rsidRPr="00F476C5">
        <w:t xml:space="preserve">help to safeguard marine ecosystems and their functions, </w:t>
      </w:r>
      <w:r>
        <w:t xml:space="preserve">allowing </w:t>
      </w:r>
      <w:r w:rsidRPr="00F476C5">
        <w:t xml:space="preserve">people </w:t>
      </w:r>
      <w:r>
        <w:t xml:space="preserve">to </w:t>
      </w:r>
      <w:r w:rsidRPr="00F476C5">
        <w:t>continue to benefit from the services that flow from healthy ecosystems.</w:t>
      </w:r>
      <w:r w:rsidRPr="00D75018">
        <w:rPr>
          <w:lang w:val="nb-NO"/>
        </w:rPr>
        <w:t xml:space="preserve"> </w:t>
      </w:r>
    </w:p>
    <w:p w14:paraId="1E2A80B3" w14:textId="77777777" w:rsidR="008E31D7" w:rsidRDefault="00217911" w:rsidP="003A4AD1">
      <w:pPr>
        <w:jc w:val="left"/>
        <w:rPr>
          <w:lang w:val="en-GB"/>
        </w:rPr>
      </w:pPr>
      <w:r>
        <w:rPr>
          <w:lang w:val="en-GB"/>
        </w:rPr>
        <w:t>PAME’s overall objective is to c</w:t>
      </w:r>
      <w:r w:rsidRPr="00C967DF">
        <w:rPr>
          <w:lang w:val="en-GB"/>
        </w:rPr>
        <w:t>ontinue to integrate the ecosystem approach into assessments and management recommendations through follow-up to the 2013 EBM marine-related recommendations, taking into account previous work on Large Marine Ecosystems (LMEs), and new and ongoing EA activities of cross-cutting nature.</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2"/>
        <w:gridCol w:w="4252"/>
        <w:gridCol w:w="2252"/>
      </w:tblGrid>
      <w:tr w:rsidR="0069696B" w14:paraId="276FF04A" w14:textId="77777777" w:rsidTr="001A43EE">
        <w:tc>
          <w:tcPr>
            <w:tcW w:w="9046" w:type="dxa"/>
            <w:gridSpan w:val="3"/>
            <w:tcBorders>
              <w:top w:val="single" w:sz="8" w:space="0" w:color="auto"/>
              <w:left w:val="single" w:sz="8" w:space="0" w:color="auto"/>
              <w:bottom w:val="single" w:sz="8" w:space="0" w:color="auto"/>
              <w:right w:val="single" w:sz="8" w:space="0" w:color="auto"/>
            </w:tcBorders>
            <w:shd w:val="clear" w:color="auto" w:fill="538135" w:themeFill="accent6" w:themeFillShade="BF"/>
          </w:tcPr>
          <w:p w14:paraId="58BEB699" w14:textId="77777777" w:rsidR="0069696B" w:rsidRPr="003E1EDC" w:rsidRDefault="0069696B" w:rsidP="00C516A2">
            <w:pPr>
              <w:jc w:val="center"/>
              <w:rPr>
                <w:b/>
              </w:rPr>
            </w:pPr>
            <w:r>
              <w:rPr>
                <w:b/>
                <w:color w:val="FFFFFF" w:themeColor="background1"/>
              </w:rPr>
              <w:t>Ecosystem Approach to Management</w:t>
            </w:r>
          </w:p>
        </w:tc>
      </w:tr>
      <w:tr w:rsidR="0069696B" w14:paraId="1C970C60" w14:textId="77777777" w:rsidTr="00430A42">
        <w:tc>
          <w:tcPr>
            <w:tcW w:w="2542" w:type="dxa"/>
            <w:tcBorders>
              <w:top w:val="single" w:sz="8" w:space="0" w:color="auto"/>
              <w:right w:val="nil"/>
            </w:tcBorders>
            <w:shd w:val="clear" w:color="auto" w:fill="F2F2F2" w:themeFill="background1" w:themeFillShade="F2"/>
          </w:tcPr>
          <w:p w14:paraId="0C61FF28" w14:textId="77777777" w:rsidR="0069696B" w:rsidRPr="00D44240" w:rsidRDefault="0069696B" w:rsidP="00C516A2">
            <w:pPr>
              <w:jc w:val="center"/>
              <w:rPr>
                <w:i/>
              </w:rPr>
            </w:pPr>
            <w:r w:rsidRPr="00D44240">
              <w:rPr>
                <w:i/>
              </w:rPr>
              <w:t>Project/activity</w:t>
            </w:r>
          </w:p>
        </w:tc>
        <w:tc>
          <w:tcPr>
            <w:tcW w:w="4252" w:type="dxa"/>
            <w:tcBorders>
              <w:top w:val="single" w:sz="8" w:space="0" w:color="auto"/>
              <w:left w:val="nil"/>
              <w:right w:val="nil"/>
            </w:tcBorders>
            <w:shd w:val="clear" w:color="auto" w:fill="F2F2F2" w:themeFill="background1" w:themeFillShade="F2"/>
          </w:tcPr>
          <w:p w14:paraId="268664D2" w14:textId="77777777" w:rsidR="0069696B" w:rsidRPr="00D44240" w:rsidRDefault="0069696B" w:rsidP="00C516A2">
            <w:pPr>
              <w:jc w:val="center"/>
              <w:rPr>
                <w:i/>
              </w:rPr>
            </w:pPr>
            <w:r w:rsidRPr="00D44240">
              <w:rPr>
                <w:i/>
              </w:rPr>
              <w:t>Description</w:t>
            </w:r>
          </w:p>
        </w:tc>
        <w:tc>
          <w:tcPr>
            <w:tcW w:w="2252" w:type="dxa"/>
            <w:tcBorders>
              <w:top w:val="single" w:sz="8" w:space="0" w:color="auto"/>
              <w:left w:val="nil"/>
            </w:tcBorders>
            <w:shd w:val="clear" w:color="auto" w:fill="F2F2F2" w:themeFill="background1" w:themeFillShade="F2"/>
          </w:tcPr>
          <w:p w14:paraId="0CD6841D" w14:textId="77777777" w:rsidR="0069696B" w:rsidRPr="00D44240" w:rsidRDefault="0069696B" w:rsidP="00C516A2">
            <w:pPr>
              <w:jc w:val="center"/>
              <w:rPr>
                <w:i/>
              </w:rPr>
            </w:pPr>
            <w:r w:rsidRPr="00D44240">
              <w:rPr>
                <w:i/>
              </w:rPr>
              <w:t>Lead(s) and partners</w:t>
            </w:r>
          </w:p>
        </w:tc>
      </w:tr>
      <w:tr w:rsidR="0069696B" w14:paraId="48275608" w14:textId="77777777" w:rsidTr="00430A42">
        <w:tc>
          <w:tcPr>
            <w:tcW w:w="2542" w:type="dxa"/>
          </w:tcPr>
          <w:p w14:paraId="69C28F6C" w14:textId="2AA85511" w:rsidR="0069696B" w:rsidRDefault="009E1BB3" w:rsidP="003A4AD1">
            <w:pPr>
              <w:jc w:val="left"/>
            </w:pPr>
            <w:r>
              <w:rPr>
                <w:rFonts w:ascii="Calibri" w:hAnsi="Calibri"/>
                <w:b/>
              </w:rPr>
              <w:t>Convening of the 2</w:t>
            </w:r>
            <w:r w:rsidRPr="009A7204">
              <w:rPr>
                <w:rFonts w:ascii="Calibri" w:hAnsi="Calibri"/>
                <w:b/>
                <w:vertAlign w:val="superscript"/>
              </w:rPr>
              <w:t>nd</w:t>
            </w:r>
            <w:r>
              <w:rPr>
                <w:rFonts w:ascii="Calibri" w:hAnsi="Calibri"/>
                <w:b/>
              </w:rPr>
              <w:t xml:space="preserve"> </w:t>
            </w:r>
            <w:r w:rsidRPr="001C168A">
              <w:rPr>
                <w:rFonts w:ascii="Calibri" w:hAnsi="Calibri"/>
                <w:b/>
              </w:rPr>
              <w:t>International Science and Policy Conference on Implementation of the Ecosystem Approach to Management in the Arctic in Bergen</w:t>
            </w:r>
            <w:r>
              <w:rPr>
                <w:rFonts w:ascii="Calibri" w:hAnsi="Calibri"/>
                <w:b/>
              </w:rPr>
              <w:t xml:space="preserve">, </w:t>
            </w:r>
            <w:r w:rsidRPr="001C168A">
              <w:rPr>
                <w:rFonts w:ascii="Calibri" w:hAnsi="Calibri"/>
                <w:b/>
              </w:rPr>
              <w:t>Norway 2019</w:t>
            </w:r>
          </w:p>
        </w:tc>
        <w:tc>
          <w:tcPr>
            <w:tcW w:w="4252" w:type="dxa"/>
          </w:tcPr>
          <w:p w14:paraId="1E55D19C" w14:textId="16337C07" w:rsidR="009E1BB3" w:rsidRPr="009A7204" w:rsidRDefault="009E1BB3" w:rsidP="009E1BB3">
            <w:pPr>
              <w:rPr>
                <w:rFonts w:ascii="Calibri" w:hAnsi="Calibri"/>
              </w:rPr>
            </w:pPr>
            <w:r>
              <w:rPr>
                <w:rFonts w:ascii="Calibri" w:hAnsi="Calibri"/>
                <w:u w:val="single"/>
              </w:rPr>
              <w:t>The t</w:t>
            </w:r>
            <w:r w:rsidRPr="009A7204">
              <w:rPr>
                <w:rFonts w:ascii="Calibri" w:hAnsi="Calibri"/>
                <w:u w:val="single"/>
              </w:rPr>
              <w:t>itl</w:t>
            </w:r>
            <w:r>
              <w:rPr>
                <w:rFonts w:ascii="Calibri" w:hAnsi="Calibri"/>
                <w:u w:val="single"/>
              </w:rPr>
              <w:t>e of the conference is</w:t>
            </w:r>
            <w:r w:rsidRPr="009A7204">
              <w:rPr>
                <w:rFonts w:ascii="Calibri" w:hAnsi="Calibri"/>
              </w:rPr>
              <w:t xml:space="preserve">: </w:t>
            </w:r>
            <w:r w:rsidRPr="00CC298A">
              <w:rPr>
                <w:rFonts w:ascii="Calibri" w:hAnsi="Calibri"/>
                <w:i/>
              </w:rPr>
              <w:t>The Ecosystem Approach to Management of Arctic Marine Ecosystems: Integrating information at different scales in the framework of EA implementation</w:t>
            </w:r>
          </w:p>
          <w:p w14:paraId="68050630" w14:textId="6509E8D9" w:rsidR="0069696B" w:rsidRPr="00CC298A" w:rsidRDefault="009E1BB3" w:rsidP="00CC298A">
            <w:pPr>
              <w:rPr>
                <w:rFonts w:ascii="Calibri" w:hAnsi="Calibri"/>
              </w:rPr>
            </w:pPr>
            <w:r w:rsidRPr="001C168A">
              <w:rPr>
                <w:rFonts w:ascii="Calibri" w:hAnsi="Calibri"/>
              </w:rPr>
              <w:t xml:space="preserve">Topics to be addressed include </w:t>
            </w:r>
            <w:r w:rsidRPr="001C168A">
              <w:rPr>
                <w:rFonts w:ascii="Calibri" w:hAnsi="Calibri" w:cs="Calibri"/>
                <w:iCs/>
              </w:rPr>
              <w:t xml:space="preserve">areas of heightened ecological and cultural significance (e.g. EBSAs); Marine Protected Areas (MPAs); local co-management arrangements; Traditional and Indigenous Ecological Knowledge; community monitoring; and other aspects as developed by a conference planning group. </w:t>
            </w:r>
            <w:r w:rsidRPr="0015533F">
              <w:rPr>
                <w:rFonts w:ascii="Calibri" w:hAnsi="Calibri"/>
              </w:rPr>
              <w:t xml:space="preserve"> While the focus is on EA implementation in the Arctic, the topic of scale integration is general and universal. </w:t>
            </w:r>
          </w:p>
        </w:tc>
        <w:tc>
          <w:tcPr>
            <w:tcW w:w="2252" w:type="dxa"/>
          </w:tcPr>
          <w:p w14:paraId="23CB451E" w14:textId="1397E7A5" w:rsidR="00217911" w:rsidRPr="005B08A5" w:rsidRDefault="00217911" w:rsidP="003A4AD1">
            <w:pPr>
              <w:jc w:val="left"/>
              <w:rPr>
                <w:i/>
              </w:rPr>
            </w:pPr>
            <w:r w:rsidRPr="005B08A5">
              <w:rPr>
                <w:i/>
              </w:rPr>
              <w:t>USA, Norway</w:t>
            </w:r>
            <w:r w:rsidR="009E1BB3" w:rsidRPr="001C168A">
              <w:rPr>
                <w:rFonts w:ascii="Calibri" w:hAnsi="Calibri"/>
                <w:i/>
                <w:color w:val="000000" w:themeColor="text1"/>
              </w:rPr>
              <w:t xml:space="preserve"> in close collaboration with the EA expert group</w:t>
            </w:r>
          </w:p>
        </w:tc>
      </w:tr>
      <w:tr w:rsidR="00395439" w14:paraId="62EF6AF3" w14:textId="77777777" w:rsidTr="00430A42">
        <w:tc>
          <w:tcPr>
            <w:tcW w:w="2542" w:type="dxa"/>
          </w:tcPr>
          <w:p w14:paraId="281C4B59" w14:textId="77777777" w:rsidR="00395439" w:rsidRPr="00FF616D" w:rsidRDefault="00395439" w:rsidP="003A4AD1">
            <w:pPr>
              <w:jc w:val="left"/>
              <w:rPr>
                <w:rFonts w:ascii="Calibri" w:hAnsi="Calibri"/>
                <w:b/>
              </w:rPr>
            </w:pPr>
            <w:r>
              <w:rPr>
                <w:rFonts w:ascii="Calibri" w:hAnsi="Calibri"/>
                <w:b/>
              </w:rPr>
              <w:lastRenderedPageBreak/>
              <w:t>7</w:t>
            </w:r>
            <w:r w:rsidRPr="00395439">
              <w:rPr>
                <w:rFonts w:ascii="Calibri" w:hAnsi="Calibri"/>
                <w:b/>
                <w:vertAlign w:val="superscript"/>
              </w:rPr>
              <w:t>th</w:t>
            </w:r>
            <w:r>
              <w:rPr>
                <w:rFonts w:ascii="Calibri" w:hAnsi="Calibri"/>
                <w:b/>
              </w:rPr>
              <w:t xml:space="preserve"> EA Workshop</w:t>
            </w:r>
          </w:p>
        </w:tc>
        <w:tc>
          <w:tcPr>
            <w:tcW w:w="4252" w:type="dxa"/>
          </w:tcPr>
          <w:p w14:paraId="60835206" w14:textId="77777777" w:rsidR="00395439" w:rsidRPr="00537D5E" w:rsidRDefault="00395439" w:rsidP="00CC298A">
            <w:r w:rsidRPr="00395439">
              <w:t>To convene the 7th EA workshop in 2020 with focus on element No. 5 of the EA framework: Value the cultural, social, and economic goods and services produced by the ecosystem.</w:t>
            </w:r>
          </w:p>
        </w:tc>
        <w:tc>
          <w:tcPr>
            <w:tcW w:w="2252" w:type="dxa"/>
          </w:tcPr>
          <w:p w14:paraId="28EE8EF7" w14:textId="3E5423A5" w:rsidR="00395439" w:rsidRPr="005B08A5" w:rsidRDefault="00395439" w:rsidP="003A4AD1">
            <w:pPr>
              <w:jc w:val="left"/>
              <w:rPr>
                <w:i/>
              </w:rPr>
            </w:pPr>
            <w:r w:rsidRPr="005B08A5">
              <w:rPr>
                <w:i/>
              </w:rPr>
              <w:t>USA, Norway</w:t>
            </w:r>
            <w:r w:rsidR="001D5426" w:rsidRPr="001C168A">
              <w:rPr>
                <w:rFonts w:ascii="Calibri" w:hAnsi="Calibri"/>
                <w:i/>
                <w:color w:val="000000" w:themeColor="text1"/>
              </w:rPr>
              <w:t xml:space="preserve"> in close collaboration with the EA expert group</w:t>
            </w:r>
          </w:p>
        </w:tc>
      </w:tr>
      <w:tr w:rsidR="00395439" w14:paraId="2E50A776" w14:textId="77777777" w:rsidTr="00430A42">
        <w:tc>
          <w:tcPr>
            <w:tcW w:w="2542" w:type="dxa"/>
          </w:tcPr>
          <w:p w14:paraId="15E6E896" w14:textId="77777777" w:rsidR="00395439" w:rsidRDefault="00395439" w:rsidP="003A4AD1">
            <w:pPr>
              <w:jc w:val="left"/>
              <w:rPr>
                <w:rFonts w:ascii="Calibri" w:hAnsi="Calibri"/>
                <w:b/>
              </w:rPr>
            </w:pPr>
            <w:r>
              <w:rPr>
                <w:rFonts w:ascii="Calibri" w:hAnsi="Calibri"/>
                <w:b/>
              </w:rPr>
              <w:t>Ecological objectives</w:t>
            </w:r>
          </w:p>
        </w:tc>
        <w:tc>
          <w:tcPr>
            <w:tcW w:w="4252" w:type="dxa"/>
          </w:tcPr>
          <w:p w14:paraId="56758314" w14:textId="77777777" w:rsidR="00395439" w:rsidRPr="00395439" w:rsidRDefault="00395439" w:rsidP="00CC298A">
            <w:r w:rsidRPr="00395439">
              <w:t>Report on developments in defining or setting ecological quality objectives in the context of EA implementation in national and international processes.</w:t>
            </w:r>
          </w:p>
        </w:tc>
        <w:tc>
          <w:tcPr>
            <w:tcW w:w="2252" w:type="dxa"/>
          </w:tcPr>
          <w:p w14:paraId="75328621" w14:textId="3CE841B7" w:rsidR="00395439" w:rsidRPr="005B08A5" w:rsidRDefault="00395439" w:rsidP="003A4AD1">
            <w:pPr>
              <w:jc w:val="left"/>
              <w:rPr>
                <w:i/>
              </w:rPr>
            </w:pPr>
            <w:r w:rsidRPr="005B08A5">
              <w:rPr>
                <w:i/>
              </w:rPr>
              <w:t>USA, Norway</w:t>
            </w:r>
            <w:r w:rsidR="001D5426" w:rsidRPr="001C168A">
              <w:rPr>
                <w:rFonts w:ascii="Calibri" w:hAnsi="Calibri"/>
                <w:i/>
                <w:color w:val="000000" w:themeColor="text1"/>
              </w:rPr>
              <w:t xml:space="preserve"> in close collaboration with the EA expert group</w:t>
            </w:r>
          </w:p>
        </w:tc>
      </w:tr>
      <w:tr w:rsidR="005B08A5" w14:paraId="0A72B5E8" w14:textId="77777777" w:rsidTr="00430A42">
        <w:tc>
          <w:tcPr>
            <w:tcW w:w="2542" w:type="dxa"/>
          </w:tcPr>
          <w:p w14:paraId="67351CED" w14:textId="77777777" w:rsidR="005B08A5" w:rsidRPr="005B08A5" w:rsidRDefault="005B08A5" w:rsidP="003A4AD1">
            <w:pPr>
              <w:jc w:val="left"/>
              <w:rPr>
                <w:i/>
              </w:rPr>
            </w:pPr>
            <w:r w:rsidRPr="00FF616D">
              <w:rPr>
                <w:b/>
              </w:rPr>
              <w:t>Integrated Ecosystem Assessment (IEA) of the Central Arctic Ocean</w:t>
            </w:r>
          </w:p>
          <w:p w14:paraId="7BA39FBD" w14:textId="11BAE6D8" w:rsidR="005B08A5" w:rsidRDefault="001D5426" w:rsidP="003A4AD1">
            <w:pPr>
              <w:jc w:val="left"/>
              <w:rPr>
                <w:rFonts w:ascii="Calibri" w:hAnsi="Calibri"/>
                <w:b/>
              </w:rPr>
            </w:pPr>
            <w:r w:rsidRPr="00B357FF">
              <w:rPr>
                <w:rFonts w:ascii="Calibri" w:hAnsi="Calibri"/>
                <w:i/>
              </w:rPr>
              <w:t>(ongoing cross-cutting initiative in cooperation with ICES/PICES and EA expert group</w:t>
            </w:r>
            <w:r w:rsidR="00CC298A">
              <w:rPr>
                <w:rFonts w:ascii="Calibri" w:hAnsi="Calibri"/>
                <w:i/>
              </w:rPr>
              <w:t>)</w:t>
            </w:r>
          </w:p>
        </w:tc>
        <w:tc>
          <w:tcPr>
            <w:tcW w:w="4252" w:type="dxa"/>
          </w:tcPr>
          <w:p w14:paraId="4F34083A" w14:textId="77777777" w:rsidR="005B08A5" w:rsidRPr="00395439" w:rsidRDefault="005B08A5" w:rsidP="00CC298A">
            <w:r w:rsidRPr="005C5249">
              <w:t>Continue emphasis on development of Integrated Ecosystem Assessment (IEA). Continue to report on developments within ICES/PICES/PAME Working Group on Integrated Ecosystem Assessment (WGICA) as well as other ICES activities on IEA, the meetings of scientific experts on fish stocks in the central Arctic Ocean, and any other relevant activities, e.g., in the U.S. NOAA IEA program.</w:t>
            </w:r>
          </w:p>
        </w:tc>
        <w:tc>
          <w:tcPr>
            <w:tcW w:w="2252" w:type="dxa"/>
          </w:tcPr>
          <w:p w14:paraId="1A2C6892" w14:textId="77777777" w:rsidR="005B08A5" w:rsidRPr="005B08A5" w:rsidRDefault="005B08A5" w:rsidP="003A4AD1">
            <w:pPr>
              <w:jc w:val="left"/>
              <w:rPr>
                <w:i/>
              </w:rPr>
            </w:pPr>
            <w:r w:rsidRPr="005B08A5">
              <w:rPr>
                <w:i/>
              </w:rPr>
              <w:t>USA, Norway</w:t>
            </w:r>
          </w:p>
          <w:p w14:paraId="34B4782A" w14:textId="77777777" w:rsidR="005B08A5" w:rsidRPr="005B08A5" w:rsidRDefault="005B08A5" w:rsidP="003A4AD1">
            <w:pPr>
              <w:jc w:val="left"/>
              <w:rPr>
                <w:i/>
              </w:rPr>
            </w:pPr>
            <w:r w:rsidRPr="005B08A5">
              <w:rPr>
                <w:i/>
              </w:rPr>
              <w:t>Collaboration with ICES/PICES</w:t>
            </w:r>
          </w:p>
        </w:tc>
      </w:tr>
      <w:tr w:rsidR="00EF17F1" w14:paraId="77C5C4FF" w14:textId="77777777" w:rsidTr="00430A42">
        <w:tc>
          <w:tcPr>
            <w:tcW w:w="9046" w:type="dxa"/>
            <w:gridSpan w:val="3"/>
            <w:tcBorders>
              <w:top w:val="single" w:sz="8" w:space="0" w:color="auto"/>
              <w:left w:val="single" w:sz="8" w:space="0" w:color="auto"/>
              <w:bottom w:val="single" w:sz="8" w:space="0" w:color="auto"/>
              <w:right w:val="single" w:sz="8" w:space="0" w:color="auto"/>
            </w:tcBorders>
            <w:shd w:val="clear" w:color="auto" w:fill="538135" w:themeFill="accent6" w:themeFillShade="BF"/>
          </w:tcPr>
          <w:p w14:paraId="6DB9462B" w14:textId="77777777" w:rsidR="00EF17F1" w:rsidRPr="003E1EDC" w:rsidRDefault="00EF17F1" w:rsidP="00C516A2">
            <w:pPr>
              <w:jc w:val="center"/>
              <w:rPr>
                <w:b/>
              </w:rPr>
            </w:pPr>
            <w:r>
              <w:rPr>
                <w:b/>
                <w:color w:val="FFFFFF" w:themeColor="background1"/>
              </w:rPr>
              <w:t>Marine Protected Areas</w:t>
            </w:r>
          </w:p>
        </w:tc>
      </w:tr>
      <w:tr w:rsidR="00EF17F1" w14:paraId="5E765AD2" w14:textId="77777777" w:rsidTr="00430A42">
        <w:tc>
          <w:tcPr>
            <w:tcW w:w="2542" w:type="dxa"/>
            <w:tcBorders>
              <w:top w:val="single" w:sz="8" w:space="0" w:color="auto"/>
              <w:right w:val="nil"/>
            </w:tcBorders>
            <w:shd w:val="clear" w:color="auto" w:fill="F2F2F2" w:themeFill="background1" w:themeFillShade="F2"/>
          </w:tcPr>
          <w:p w14:paraId="792361B2" w14:textId="77777777" w:rsidR="00EF17F1" w:rsidRPr="00D44240" w:rsidRDefault="00EF17F1" w:rsidP="00C516A2">
            <w:pPr>
              <w:jc w:val="center"/>
              <w:rPr>
                <w:i/>
              </w:rPr>
            </w:pPr>
            <w:r w:rsidRPr="00D44240">
              <w:rPr>
                <w:i/>
              </w:rPr>
              <w:t>Project/activity</w:t>
            </w:r>
          </w:p>
        </w:tc>
        <w:tc>
          <w:tcPr>
            <w:tcW w:w="4252" w:type="dxa"/>
            <w:tcBorders>
              <w:top w:val="single" w:sz="8" w:space="0" w:color="auto"/>
              <w:left w:val="nil"/>
              <w:right w:val="nil"/>
            </w:tcBorders>
            <w:shd w:val="clear" w:color="auto" w:fill="F2F2F2" w:themeFill="background1" w:themeFillShade="F2"/>
          </w:tcPr>
          <w:p w14:paraId="5D67DBA1" w14:textId="77777777" w:rsidR="00EF17F1" w:rsidRPr="00D44240" w:rsidRDefault="00EF17F1" w:rsidP="00C516A2">
            <w:pPr>
              <w:jc w:val="center"/>
              <w:rPr>
                <w:i/>
              </w:rPr>
            </w:pPr>
            <w:r w:rsidRPr="00D44240">
              <w:rPr>
                <w:i/>
              </w:rPr>
              <w:t>Description</w:t>
            </w:r>
          </w:p>
        </w:tc>
        <w:tc>
          <w:tcPr>
            <w:tcW w:w="2252" w:type="dxa"/>
            <w:tcBorders>
              <w:top w:val="single" w:sz="8" w:space="0" w:color="auto"/>
              <w:left w:val="nil"/>
            </w:tcBorders>
            <w:shd w:val="clear" w:color="auto" w:fill="F2F2F2" w:themeFill="background1" w:themeFillShade="F2"/>
          </w:tcPr>
          <w:p w14:paraId="746193F7" w14:textId="77777777" w:rsidR="00EF17F1" w:rsidRPr="00D44240" w:rsidRDefault="00EF17F1" w:rsidP="00C516A2">
            <w:pPr>
              <w:jc w:val="center"/>
              <w:rPr>
                <w:i/>
              </w:rPr>
            </w:pPr>
            <w:r w:rsidRPr="00D44240">
              <w:rPr>
                <w:i/>
              </w:rPr>
              <w:t>Lead(s) and partners</w:t>
            </w:r>
          </w:p>
        </w:tc>
      </w:tr>
      <w:tr w:rsidR="00EF17F1" w14:paraId="1058A43B" w14:textId="77777777" w:rsidTr="00430A42">
        <w:tc>
          <w:tcPr>
            <w:tcW w:w="2542" w:type="dxa"/>
          </w:tcPr>
          <w:p w14:paraId="7D87204C" w14:textId="2797B4E0" w:rsidR="00EF17F1" w:rsidRDefault="00CF4562" w:rsidP="003A4AD1">
            <w:pPr>
              <w:jc w:val="left"/>
            </w:pPr>
            <w:r w:rsidRPr="001B578B">
              <w:rPr>
                <w:rFonts w:ascii="Calibri" w:hAnsi="Calibri"/>
                <w:b/>
                <w:lang w:val="en-GB"/>
              </w:rPr>
              <w:t>Modelling Arctic oceanographic connectivity to further develop PAME’s MPA toolbox</w:t>
            </w:r>
          </w:p>
        </w:tc>
        <w:tc>
          <w:tcPr>
            <w:tcW w:w="4252" w:type="dxa"/>
          </w:tcPr>
          <w:p w14:paraId="08943E0D" w14:textId="77777777" w:rsidR="00CF4562" w:rsidRPr="001B578B" w:rsidRDefault="00CF4562" w:rsidP="00CF4562">
            <w:pPr>
              <w:rPr>
                <w:rFonts w:ascii="Calibri" w:hAnsi="Calibri"/>
              </w:rPr>
            </w:pPr>
            <w:r w:rsidRPr="001B578B">
              <w:rPr>
                <w:rFonts w:ascii="Calibri" w:hAnsi="Calibri"/>
              </w:rPr>
              <w:t>Ongoing climate change may facilitate increased access to the Arctic region, and potential new economic opportunities, but may also bring potential threats to the Arctic marine and coastal environments. These changes could benefit from more integrated approaches to Arctic marine management, including the consideration of MPA networks design to aid in the sustainable use of the Arctic environment.</w:t>
            </w:r>
          </w:p>
          <w:p w14:paraId="43EF0709" w14:textId="1C3B160D" w:rsidR="00EF17F1" w:rsidRDefault="00CF4562" w:rsidP="00CC298A">
            <w:r>
              <w:t>The modelling of Arctic oceanographic connectivity will support further development of PAME’s MPA toolbox. It will require close collaboration with CAFF and is considered a multiyear and iterative project based on best available baseline data, incorporating new data and studies by the Arctic Council, the Arctic States and others, as relevant.</w:t>
            </w:r>
          </w:p>
        </w:tc>
        <w:tc>
          <w:tcPr>
            <w:tcW w:w="2252" w:type="dxa"/>
          </w:tcPr>
          <w:p w14:paraId="43EDAED3" w14:textId="77777777" w:rsidR="00EF17F1" w:rsidRDefault="00535ED8" w:rsidP="003A4AD1">
            <w:pPr>
              <w:jc w:val="left"/>
            </w:pPr>
            <w:r>
              <w:t>Sweden</w:t>
            </w:r>
          </w:p>
        </w:tc>
      </w:tr>
      <w:tr w:rsidR="009B509D" w14:paraId="799C3402" w14:textId="77777777" w:rsidTr="00430A42">
        <w:tc>
          <w:tcPr>
            <w:tcW w:w="2542" w:type="dxa"/>
          </w:tcPr>
          <w:p w14:paraId="33A11B2A" w14:textId="26FA73BB" w:rsidR="009B509D" w:rsidRPr="00E24B69" w:rsidRDefault="00CF4562" w:rsidP="003A4AD1">
            <w:pPr>
              <w:jc w:val="left"/>
              <w:rPr>
                <w:b/>
                <w:lang w:val="en-GB"/>
              </w:rPr>
            </w:pPr>
            <w:r w:rsidRPr="001B578B">
              <w:rPr>
                <w:rFonts w:ascii="Calibri" w:hAnsi="Calibri"/>
                <w:b/>
              </w:rPr>
              <w:lastRenderedPageBreak/>
              <w:t>Arctic Protected and Important Areas</w:t>
            </w:r>
          </w:p>
        </w:tc>
        <w:tc>
          <w:tcPr>
            <w:tcW w:w="4252" w:type="dxa"/>
          </w:tcPr>
          <w:p w14:paraId="469BE8C8" w14:textId="21C9A061" w:rsidR="009B509D" w:rsidRPr="00CC298A" w:rsidRDefault="00CF4562" w:rsidP="00CC298A">
            <w:pPr>
              <w:rPr>
                <w:rFonts w:cstheme="minorHAnsi"/>
                <w:shd w:val="clear" w:color="auto" w:fill="FFFFFF"/>
                <w:lang w:val="sv-SE"/>
              </w:rPr>
            </w:pPr>
            <w:r>
              <w:t xml:space="preserve">CAFF and PAME will work jointly work towards updating the 2017 Arctic Protected Areas Indicator Report (API) to incorporate newly protected areas established since 2017. In </w:t>
            </w:r>
            <w:proofErr w:type="gramStart"/>
            <w:r>
              <w:t>addition</w:t>
            </w:r>
            <w:proofErr w:type="gramEnd"/>
            <w:r>
              <w:t xml:space="preserve"> the API is being compared with the data for the Arctic contained within the </w:t>
            </w:r>
            <w:proofErr w:type="spellStart"/>
            <w:r w:rsidRPr="00A269D2">
              <w:rPr>
                <w:rFonts w:cstheme="minorHAnsi"/>
                <w:shd w:val="clear" w:color="auto" w:fill="FFFFFF"/>
              </w:rPr>
              <w:t>ProtectedPlanet</w:t>
            </w:r>
            <w:proofErr w:type="spellEnd"/>
            <w:r>
              <w:rPr>
                <w:rFonts w:cstheme="minorHAnsi"/>
                <w:shd w:val="clear" w:color="auto" w:fill="FFFFFF"/>
              </w:rPr>
              <w:t xml:space="preserve"> database - </w:t>
            </w:r>
            <w:proofErr w:type="spellStart"/>
            <w:r w:rsidRPr="00146CE3">
              <w:rPr>
                <w:rFonts w:cstheme="minorHAnsi"/>
                <w:shd w:val="clear" w:color="auto" w:fill="FFFFFF"/>
                <w:lang w:val="sv-SE"/>
              </w:rPr>
              <w:t>managed</w:t>
            </w:r>
            <w:proofErr w:type="spellEnd"/>
            <w:r w:rsidRPr="00146CE3">
              <w:rPr>
                <w:rFonts w:cstheme="minorHAnsi"/>
                <w:shd w:val="clear" w:color="auto" w:fill="FFFFFF"/>
                <w:lang w:val="sv-SE"/>
              </w:rPr>
              <w:t xml:space="preserve"> by the United Nations Environment World </w:t>
            </w:r>
            <w:proofErr w:type="spellStart"/>
            <w:r w:rsidRPr="00146CE3">
              <w:rPr>
                <w:rFonts w:cstheme="minorHAnsi"/>
                <w:shd w:val="clear" w:color="auto" w:fill="FFFFFF"/>
                <w:lang w:val="sv-SE"/>
              </w:rPr>
              <w:t>Conservation</w:t>
            </w:r>
            <w:proofErr w:type="spellEnd"/>
            <w:r w:rsidRPr="00146CE3">
              <w:rPr>
                <w:rFonts w:cstheme="minorHAnsi"/>
                <w:shd w:val="clear" w:color="auto" w:fill="FFFFFF"/>
                <w:lang w:val="sv-SE"/>
              </w:rPr>
              <w:t xml:space="preserve"> </w:t>
            </w:r>
            <w:proofErr w:type="spellStart"/>
            <w:r w:rsidRPr="00146CE3">
              <w:rPr>
                <w:rFonts w:cstheme="minorHAnsi"/>
                <w:shd w:val="clear" w:color="auto" w:fill="FFFFFF"/>
                <w:lang w:val="sv-SE"/>
              </w:rPr>
              <w:t>Monitoring</w:t>
            </w:r>
            <w:proofErr w:type="spellEnd"/>
            <w:r w:rsidRPr="00146CE3">
              <w:rPr>
                <w:rFonts w:cstheme="minorHAnsi"/>
                <w:shd w:val="clear" w:color="auto" w:fill="FFFFFF"/>
                <w:lang w:val="sv-SE"/>
              </w:rPr>
              <w:t xml:space="preserve"> Centre</w:t>
            </w:r>
            <w:r>
              <w:rPr>
                <w:rFonts w:cstheme="minorHAnsi"/>
                <w:shd w:val="clear" w:color="auto" w:fill="FFFFFF"/>
                <w:lang w:val="sv-SE"/>
              </w:rPr>
              <w:t xml:space="preserve">. </w:t>
            </w:r>
            <w:r>
              <w:rPr>
                <w:rFonts w:cstheme="minorHAnsi"/>
              </w:rPr>
              <w:t>The purpose of this comparison is to determine differences between the two databases and update each database accordingly.</w:t>
            </w:r>
          </w:p>
        </w:tc>
        <w:tc>
          <w:tcPr>
            <w:tcW w:w="2252" w:type="dxa"/>
          </w:tcPr>
          <w:p w14:paraId="663E2848" w14:textId="77777777" w:rsidR="009B509D" w:rsidRDefault="009B509D" w:rsidP="003A4AD1">
            <w:pPr>
              <w:jc w:val="left"/>
            </w:pPr>
            <w:r w:rsidRPr="009B509D">
              <w:rPr>
                <w:i/>
              </w:rPr>
              <w:t>TBC</w:t>
            </w:r>
            <w:r>
              <w:t>/PAME and CAFF Secretariats</w:t>
            </w:r>
          </w:p>
        </w:tc>
      </w:tr>
      <w:tr w:rsidR="009B509D" w14:paraId="596B2120" w14:textId="77777777" w:rsidTr="00430A42">
        <w:tc>
          <w:tcPr>
            <w:tcW w:w="2542" w:type="dxa"/>
          </w:tcPr>
          <w:p w14:paraId="78843978" w14:textId="77777777" w:rsidR="009B509D" w:rsidRPr="009B509D" w:rsidRDefault="009B509D" w:rsidP="003A4AD1">
            <w:pPr>
              <w:jc w:val="left"/>
              <w:rPr>
                <w:i/>
              </w:rPr>
            </w:pPr>
            <w:r w:rsidRPr="00E24B69">
              <w:rPr>
                <w:b/>
              </w:rPr>
              <w:t>Factsheet series on Arctic climate change impacts</w:t>
            </w:r>
            <w:r>
              <w:rPr>
                <w:i/>
              </w:rPr>
              <w:br/>
            </w:r>
            <w:r w:rsidRPr="008B5ACF">
              <w:rPr>
                <w:i/>
              </w:rPr>
              <w:t>(1</w:t>
            </w:r>
            <w:r w:rsidRPr="008B5ACF">
              <w:rPr>
                <w:i/>
                <w:vertAlign w:val="superscript"/>
              </w:rPr>
              <w:t>st</w:t>
            </w:r>
            <w:r w:rsidRPr="008B5ACF">
              <w:rPr>
                <w:i/>
              </w:rPr>
              <w:t xml:space="preserve"> work package)</w:t>
            </w:r>
          </w:p>
        </w:tc>
        <w:tc>
          <w:tcPr>
            <w:tcW w:w="4252" w:type="dxa"/>
          </w:tcPr>
          <w:p w14:paraId="039D9D78" w14:textId="6CD8F983" w:rsidR="009B509D" w:rsidRPr="00CC298A" w:rsidRDefault="00CC298A" w:rsidP="00CC298A">
            <w:pPr>
              <w:rPr>
                <w:b/>
                <w:lang w:val="en-GB"/>
              </w:rPr>
            </w:pPr>
            <w:proofErr w:type="spellStart"/>
            <w:r>
              <w:rPr>
                <w:rFonts w:ascii="Calibri" w:hAnsi="Calibri"/>
                <w:lang w:val="sv-SE"/>
              </w:rPr>
              <w:t>d</w:t>
            </w:r>
            <w:r w:rsidR="00CF4562" w:rsidRPr="009F7B65">
              <w:rPr>
                <w:rFonts w:ascii="Calibri" w:hAnsi="Calibri"/>
                <w:lang w:val="sv-SE"/>
              </w:rPr>
              <w:t>evelop</w:t>
            </w:r>
            <w:proofErr w:type="spellEnd"/>
            <w:r w:rsidR="00CF4562" w:rsidRPr="009F7B65">
              <w:t xml:space="preserve"> the 1</w:t>
            </w:r>
            <w:r w:rsidR="00CF4562" w:rsidRPr="009F7B65">
              <w:rPr>
                <w:vertAlign w:val="superscript"/>
              </w:rPr>
              <w:t>st</w:t>
            </w:r>
            <w:r w:rsidR="00CF4562" w:rsidRPr="009F7B65">
              <w:t xml:space="preserve"> thematic factsheet on Arctic climate change impacts on </w:t>
            </w:r>
            <w:proofErr w:type="gramStart"/>
            <w:r w:rsidR="00CF4562" w:rsidRPr="009F7B65">
              <w:t>MPAs</w:t>
            </w:r>
            <w:proofErr w:type="gramEnd"/>
            <w:r w:rsidR="00CF4562" w:rsidRPr="009F7B65">
              <w:t xml:space="preserve"> and indigenous people’s lives</w:t>
            </w:r>
            <w:r w:rsidR="00CF4562">
              <w:t xml:space="preserve">. The aim is to </w:t>
            </w:r>
            <w:r w:rsidR="00CF4562" w:rsidRPr="009F7B65">
              <w:rPr>
                <w:lang w:val="en-GB"/>
              </w:rPr>
              <w:t xml:space="preserve">leverage and synthesize factual information from the Arctic Council’s work in a layman’s format to communicate to decision makers and the public; </w:t>
            </w:r>
            <w:r w:rsidR="00CF4562">
              <w:rPr>
                <w:lang w:val="en-GB"/>
              </w:rPr>
              <w:t>to c</w:t>
            </w:r>
            <w:r w:rsidR="00CF4562" w:rsidRPr="009F7B65">
              <w:rPr>
                <w:lang w:val="en-GB"/>
              </w:rPr>
              <w:t xml:space="preserve">ontribute to cross-working groups cooperation on common topics; and </w:t>
            </w:r>
            <w:r w:rsidR="00CF4562">
              <w:rPr>
                <w:lang w:val="en-GB"/>
              </w:rPr>
              <w:t>c</w:t>
            </w:r>
            <w:r w:rsidR="00CF4562" w:rsidRPr="009F7B65">
              <w:rPr>
                <w:lang w:val="en-GB"/>
              </w:rPr>
              <w:t xml:space="preserve">ontribute to the outreach aspect of the Arctic Council and ensuring close collaboration with the Arctic Council Secretariat. </w:t>
            </w:r>
          </w:p>
        </w:tc>
        <w:tc>
          <w:tcPr>
            <w:tcW w:w="2252" w:type="dxa"/>
          </w:tcPr>
          <w:p w14:paraId="50AEB539" w14:textId="77777777" w:rsidR="009B509D" w:rsidRPr="009B509D" w:rsidRDefault="009B509D" w:rsidP="003A4AD1">
            <w:pPr>
              <w:jc w:val="left"/>
              <w:rPr>
                <w:i/>
              </w:rPr>
            </w:pPr>
            <w:r>
              <w:rPr>
                <w:i/>
              </w:rPr>
              <w:t>Finland, USA</w:t>
            </w:r>
          </w:p>
        </w:tc>
      </w:tr>
      <w:tr w:rsidR="00320164" w14:paraId="4D5D670A" w14:textId="77777777" w:rsidTr="00430A42">
        <w:tc>
          <w:tcPr>
            <w:tcW w:w="2542" w:type="dxa"/>
          </w:tcPr>
          <w:p w14:paraId="7DE2A528" w14:textId="77777777" w:rsidR="00320164" w:rsidRPr="00E24B69" w:rsidRDefault="00320164" w:rsidP="003A4AD1">
            <w:pPr>
              <w:jc w:val="left"/>
              <w:rPr>
                <w:b/>
              </w:rPr>
            </w:pPr>
            <w:r w:rsidRPr="00E24B69">
              <w:rPr>
                <w:b/>
              </w:rPr>
              <w:t>MPA Toolbox</w:t>
            </w:r>
            <w:r>
              <w:rPr>
                <w:b/>
              </w:rPr>
              <w:t>: Expansion</w:t>
            </w:r>
            <w:r>
              <w:rPr>
                <w:i/>
              </w:rPr>
              <w:t xml:space="preserve"> (continuation from previous work plan)</w:t>
            </w:r>
          </w:p>
        </w:tc>
        <w:tc>
          <w:tcPr>
            <w:tcW w:w="4252" w:type="dxa"/>
          </w:tcPr>
          <w:p w14:paraId="7AE6FC3E" w14:textId="249E9BB4" w:rsidR="00320164" w:rsidRDefault="00320164" w:rsidP="00CC298A">
            <w:r>
              <w:t xml:space="preserve">The project will </w:t>
            </w:r>
            <w:r w:rsidR="00CF4562" w:rsidRPr="001C168A">
              <w:t xml:space="preserve">continue enhancing PAME’s work on a Pan-Arctic Network of Marine Protected Areas and contribute to some of the near-term actions listed in the Framework for a Pan-Arctic Network of MPAs </w:t>
            </w:r>
            <w:r w:rsidR="00CF4562">
              <w:t>and the</w:t>
            </w:r>
            <w:r w:rsidR="00CF4562" w:rsidRPr="001C168A">
              <w:t xml:space="preserve"> AMSP strategic action 7.2.10</w:t>
            </w:r>
            <w:r w:rsidR="00CF4562">
              <w:t>.</w:t>
            </w:r>
          </w:p>
        </w:tc>
        <w:tc>
          <w:tcPr>
            <w:tcW w:w="2252" w:type="dxa"/>
          </w:tcPr>
          <w:p w14:paraId="0A67DB86" w14:textId="77777777" w:rsidR="00320164" w:rsidRDefault="00320164" w:rsidP="003A4AD1">
            <w:pPr>
              <w:jc w:val="left"/>
              <w:rPr>
                <w:i/>
              </w:rPr>
            </w:pPr>
            <w:r w:rsidRPr="00320164">
              <w:rPr>
                <w:i/>
              </w:rPr>
              <w:t xml:space="preserve">Finland, Sweden, </w:t>
            </w:r>
            <w:r>
              <w:rPr>
                <w:i/>
              </w:rPr>
              <w:t>USA.</w:t>
            </w:r>
            <w:r>
              <w:rPr>
                <w:i/>
              </w:rPr>
              <w:br/>
            </w:r>
            <w:r w:rsidRPr="00320164">
              <w:rPr>
                <w:i/>
              </w:rPr>
              <w:t>MPA Expert Group Partners: CAFF, WWF, CCU</w:t>
            </w:r>
          </w:p>
        </w:tc>
      </w:tr>
    </w:tbl>
    <w:p w14:paraId="0DCBE896" w14:textId="77777777" w:rsidR="009D47C7" w:rsidRDefault="009D47C7" w:rsidP="003A4AD1">
      <w:pPr>
        <w:jc w:val="left"/>
      </w:pPr>
    </w:p>
    <w:p w14:paraId="62A66D33" w14:textId="77777777" w:rsidR="009D47C7" w:rsidRDefault="009D47C7" w:rsidP="003A4AD1">
      <w:pPr>
        <w:jc w:val="left"/>
      </w:pPr>
    </w:p>
    <w:p w14:paraId="25B82BE6" w14:textId="77777777" w:rsidR="009D47C7" w:rsidRDefault="009D47C7" w:rsidP="003A4AD1">
      <w:pPr>
        <w:jc w:val="left"/>
      </w:pPr>
    </w:p>
    <w:p w14:paraId="2578DF63" w14:textId="77777777" w:rsidR="00344553" w:rsidRDefault="00344553" w:rsidP="003A4AD1">
      <w:pPr>
        <w:jc w:val="left"/>
      </w:pPr>
    </w:p>
    <w:p w14:paraId="291EA1B9" w14:textId="57D4DDD4" w:rsidR="00CC298A" w:rsidRDefault="00CC298A">
      <w:pPr>
        <w:spacing w:before="0" w:after="0"/>
        <w:jc w:val="left"/>
      </w:pPr>
      <w:r>
        <w:br w:type="page"/>
      </w:r>
    </w:p>
    <w:p w14:paraId="1C4EF5DE" w14:textId="77777777" w:rsidR="00344553" w:rsidRDefault="00344553" w:rsidP="003A4AD1">
      <w:pPr>
        <w:jc w:val="left"/>
      </w:pPr>
    </w:p>
    <w:p w14:paraId="172EF7FF" w14:textId="77777777" w:rsidR="00344553" w:rsidRDefault="00344553" w:rsidP="003A4AD1">
      <w:pPr>
        <w:jc w:val="left"/>
        <w:rPr>
          <w:b/>
        </w:rPr>
      </w:pPr>
      <w:r w:rsidRPr="00622197">
        <w:rPr>
          <w:b/>
          <w:noProof/>
          <w:lang w:val="en-GB" w:eastAsia="en-GB"/>
        </w:rPr>
        <mc:AlternateContent>
          <mc:Choice Requires="wps">
            <w:drawing>
              <wp:inline distT="0" distB="0" distL="0" distR="0" wp14:anchorId="3F9D41AE" wp14:editId="0EED9897">
                <wp:extent cx="5727700" cy="1124096"/>
                <wp:effectExtent l="0" t="0" r="12700" b="19050"/>
                <wp:docPr id="3" name="Rectangle 3"/>
                <wp:cNvGraphicFramePr/>
                <a:graphic xmlns:a="http://schemas.openxmlformats.org/drawingml/2006/main">
                  <a:graphicData uri="http://schemas.microsoft.com/office/word/2010/wordprocessingShape">
                    <wps:wsp>
                      <wps:cNvSpPr/>
                      <wps:spPr>
                        <a:xfrm>
                          <a:off x="0" y="0"/>
                          <a:ext cx="5727700" cy="1124096"/>
                        </a:xfrm>
                        <a:prstGeom prst="rect">
                          <a:avLst/>
                        </a:prstGeom>
                        <a:gradFill flip="none" rotWithShape="1">
                          <a:gsLst>
                            <a:gs pos="0">
                              <a:srgbClr val="7030A0">
                                <a:lumMod val="82000"/>
                              </a:srgbClr>
                            </a:gs>
                            <a:gs pos="23000">
                              <a:srgbClr val="7030A0">
                                <a:lumMod val="98000"/>
                              </a:srgbClr>
                            </a:gs>
                            <a:gs pos="69000">
                              <a:srgbClr val="7030A0">
                                <a:lumMod val="97000"/>
                              </a:srgbClr>
                            </a:gs>
                            <a:gs pos="97000">
                              <a:srgbClr val="7030A0"/>
                            </a:gs>
                          </a:gsLst>
                          <a:lin ang="2700000" scaled="1"/>
                          <a:tileRect/>
                        </a:gradFill>
                      </wps:spPr>
                      <wps:style>
                        <a:lnRef idx="1">
                          <a:schemeClr val="accent1"/>
                        </a:lnRef>
                        <a:fillRef idx="3">
                          <a:schemeClr val="accent1"/>
                        </a:fillRef>
                        <a:effectRef idx="2">
                          <a:schemeClr val="accent1"/>
                        </a:effectRef>
                        <a:fontRef idx="minor">
                          <a:schemeClr val="lt1"/>
                        </a:fontRef>
                      </wps:style>
                      <wps:txbx>
                        <w:txbxContent>
                          <w:p w14:paraId="5345DB30" w14:textId="77777777" w:rsidR="00344553" w:rsidRPr="00622197" w:rsidRDefault="00344553" w:rsidP="00344553">
                            <w:pPr>
                              <w:jc w:val="center"/>
                              <w:rPr>
                                <w:b/>
                                <w:i/>
                                <w:sz w:val="32"/>
                                <w:szCs w:val="32"/>
                              </w:rPr>
                            </w:pPr>
                            <w:r w:rsidRPr="00223D82">
                              <w:rPr>
                                <w:b/>
                                <w:sz w:val="32"/>
                                <w:szCs w:val="32"/>
                                <w:u w:val="single"/>
                              </w:rPr>
                              <w:t>AMSP</w:t>
                            </w:r>
                            <w:r w:rsidR="00C5458E" w:rsidRPr="00223D82">
                              <w:rPr>
                                <w:b/>
                                <w:sz w:val="32"/>
                                <w:szCs w:val="32"/>
                                <w:u w:val="single"/>
                              </w:rPr>
                              <w:t>:</w:t>
                            </w:r>
                            <w:r w:rsidRPr="00223D82">
                              <w:rPr>
                                <w:b/>
                                <w:sz w:val="32"/>
                                <w:szCs w:val="32"/>
                                <w:u w:val="single"/>
                              </w:rPr>
                              <w:t xml:space="preserve"> </w:t>
                            </w:r>
                            <w:r w:rsidR="00C5458E" w:rsidRPr="00223D82">
                              <w:rPr>
                                <w:b/>
                                <w:sz w:val="32"/>
                                <w:szCs w:val="32"/>
                                <w:u w:val="single"/>
                              </w:rPr>
                              <w:t>GOAL 3</w:t>
                            </w:r>
                            <w:r w:rsidR="00C5458E">
                              <w:rPr>
                                <w:b/>
                                <w:sz w:val="32"/>
                                <w:szCs w:val="32"/>
                              </w:rPr>
                              <w:br/>
                            </w:r>
                            <w:r w:rsidRPr="00622197">
                              <w:rPr>
                                <w:b/>
                                <w:i/>
                                <w:sz w:val="32"/>
                                <w:szCs w:val="32"/>
                              </w:rPr>
                              <w:t>Promote safe and sustainable use of the marine environment, taking into account cumulative environmental impacts.</w:t>
                            </w:r>
                          </w:p>
                          <w:p w14:paraId="39F6A691" w14:textId="77777777" w:rsidR="00344553" w:rsidRDefault="00344553" w:rsidP="003445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9D41AE" id="Rectangle 3" o:spid="_x0000_s1028" style="width:451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" fillcolor="#5c2783" strokecolor="#4472c4 [3204]" strokeweight=".5pt">
                <v:fill color2="#7030a0" rotate="t" angle="45" colors="0 #5c2783;15073f #6e2f9d;45220f #6d2f9b;63570f #7030a0" focus="100%" type="gradient"/>
                <v:textbox>
                  <w:txbxContent>
                    <w:p w14:paraId="5345DB30" w14:textId="77777777" w:rsidR="00344553" w:rsidRPr="00622197" w:rsidRDefault="00344553" w:rsidP="00344553">
                      <w:pPr>
                        <w:jc w:val="center"/>
                        <w:rPr>
                          <w:b/>
                          <w:i/>
                          <w:sz w:val="32"/>
                          <w:szCs w:val="32"/>
                        </w:rPr>
                      </w:pPr>
                      <w:r w:rsidRPr="00223D82">
                        <w:rPr>
                          <w:b/>
                          <w:sz w:val="32"/>
                          <w:szCs w:val="32"/>
                          <w:u w:val="single"/>
                        </w:rPr>
                        <w:t>AMSP</w:t>
                      </w:r>
                      <w:r w:rsidR="00C5458E" w:rsidRPr="00223D82">
                        <w:rPr>
                          <w:b/>
                          <w:sz w:val="32"/>
                          <w:szCs w:val="32"/>
                          <w:u w:val="single"/>
                        </w:rPr>
                        <w:t>:</w:t>
                      </w:r>
                      <w:r w:rsidRPr="00223D82">
                        <w:rPr>
                          <w:b/>
                          <w:sz w:val="32"/>
                          <w:szCs w:val="32"/>
                          <w:u w:val="single"/>
                        </w:rPr>
                        <w:t xml:space="preserve"> </w:t>
                      </w:r>
                      <w:r w:rsidR="00C5458E" w:rsidRPr="00223D82">
                        <w:rPr>
                          <w:b/>
                          <w:sz w:val="32"/>
                          <w:szCs w:val="32"/>
                          <w:u w:val="single"/>
                        </w:rPr>
                        <w:t>GOAL 3</w:t>
                      </w:r>
                      <w:r w:rsidR="00C5458E">
                        <w:rPr>
                          <w:b/>
                          <w:sz w:val="32"/>
                          <w:szCs w:val="32"/>
                        </w:rPr>
                        <w:br/>
                      </w:r>
                      <w:r w:rsidRPr="00622197">
                        <w:rPr>
                          <w:b/>
                          <w:i/>
                          <w:sz w:val="32"/>
                          <w:szCs w:val="32"/>
                        </w:rPr>
                        <w:t>Promote safe and sustainable use of the marine environment, taking into account cumulative environmental impacts.</w:t>
                      </w:r>
                    </w:p>
                    <w:p w14:paraId="39F6A691" w14:textId="77777777" w:rsidR="00344553" w:rsidRDefault="00344553" w:rsidP="00344553">
                      <w:pPr>
                        <w:jc w:val="center"/>
                      </w:pPr>
                    </w:p>
                  </w:txbxContent>
                </v:textbox>
                <w10:anchorlock/>
              </v:rect>
            </w:pict>
          </mc:Fallback>
        </mc:AlternateContent>
      </w:r>
    </w:p>
    <w:p w14:paraId="7FECB78B" w14:textId="77777777" w:rsidR="00344553" w:rsidRDefault="00344553" w:rsidP="003A4AD1">
      <w:pPr>
        <w:jc w:val="left"/>
        <w:rPr>
          <w:b/>
        </w:rPr>
      </w:pPr>
    </w:p>
    <w:p w14:paraId="374A3B65" w14:textId="77777777" w:rsidR="00344553" w:rsidRDefault="00344553" w:rsidP="003A4AD1">
      <w:pPr>
        <w:jc w:val="left"/>
        <w:rPr>
          <w:b/>
        </w:rPr>
      </w:pPr>
      <w:r>
        <w:rPr>
          <w:b/>
        </w:rPr>
        <w:t>BACKGROUND</w:t>
      </w:r>
    </w:p>
    <w:p w14:paraId="35D55ABF" w14:textId="77777777" w:rsidR="00344553" w:rsidRDefault="00344553" w:rsidP="003A4AD1">
      <w:pPr>
        <w:jc w:val="left"/>
      </w:pPr>
      <w:r w:rsidRPr="00F476C5">
        <w:t xml:space="preserve">Improved access to the Arctic, national and regional priorities, and growing global demand for natural resources are driving an increase in resource extraction, shipping activities, and interest in living marine resources. </w:t>
      </w:r>
      <w:r>
        <w:t xml:space="preserve">Safe and </w:t>
      </w:r>
      <w:r w:rsidRPr="00F476C5">
        <w:t xml:space="preserve">sustainable use of living </w:t>
      </w:r>
      <w:r>
        <w:t xml:space="preserve">and non-living </w:t>
      </w:r>
      <w:r w:rsidRPr="00F476C5">
        <w:t>marine resources</w:t>
      </w:r>
      <w:r>
        <w:t xml:space="preserve"> should be promoted</w:t>
      </w:r>
      <w:r w:rsidRPr="00F476C5">
        <w:t xml:space="preserve"> in a manner that maintains the structure of eco-systems, their functions and productivity</w:t>
      </w:r>
      <w:r>
        <w:t>, applies EBM and provides economic opportunity. There is substantial potential for economic development in the Arctic that will benefit both local communities as well as the Arctic states.</w:t>
      </w:r>
    </w:p>
    <w:p w14:paraId="0FA4BB26" w14:textId="4A36AF4E" w:rsidR="00344553" w:rsidRDefault="00344553" w:rsidP="003A4AD1">
      <w:pPr>
        <w:jc w:val="left"/>
      </w:pPr>
      <w:r>
        <w:t>P</w:t>
      </w:r>
      <w:r w:rsidRPr="00F476C5">
        <w:t>ollution in the Arctic marine environment comes primarily from sources outside the region</w:t>
      </w:r>
      <w:r>
        <w:t>.</w:t>
      </w:r>
      <w:r w:rsidRPr="00F476C5">
        <w:t xml:space="preserve"> </w:t>
      </w:r>
      <w:r>
        <w:t>I</w:t>
      </w:r>
      <w:r w:rsidRPr="00F476C5">
        <w:t xml:space="preserve">mpacts from </w:t>
      </w:r>
      <w:r>
        <w:t xml:space="preserve">increased economic activities </w:t>
      </w:r>
      <w:r w:rsidRPr="00F476C5">
        <w:t xml:space="preserve">inside the region can, combined with </w:t>
      </w:r>
      <w:r>
        <w:t>impacts</w:t>
      </w:r>
      <w:r w:rsidRPr="00F476C5">
        <w:t xml:space="preserve"> from climate change, ocean acidification and </w:t>
      </w:r>
      <w:proofErr w:type="gramStart"/>
      <w:r w:rsidRPr="00F476C5">
        <w:t>long range</w:t>
      </w:r>
      <w:proofErr w:type="gramEnd"/>
      <w:r w:rsidRPr="00E81126">
        <w:t xml:space="preserve"> </w:t>
      </w:r>
      <w:r w:rsidRPr="00F476C5">
        <w:t>pollution, produce cumulative impacts that put strain o</w:t>
      </w:r>
      <w:r>
        <w:t>n these ecosystems. Mining, oil</w:t>
      </w:r>
      <w:r w:rsidRPr="00F476C5">
        <w:t xml:space="preserve"> and gas activities, shipping, Arctic settlements</w:t>
      </w:r>
      <w:r>
        <w:t>,</w:t>
      </w:r>
      <w:r w:rsidRPr="00F476C5">
        <w:t xml:space="preserve"> legacy sites such as military bases</w:t>
      </w:r>
      <w:r>
        <w:t xml:space="preserve"> and mines, and land-based activities,</w:t>
      </w:r>
      <w:r w:rsidRPr="00F476C5">
        <w:t xml:space="preserve"> are current and potential sources of marine pollution within the Arctic.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2"/>
        <w:gridCol w:w="4252"/>
        <w:gridCol w:w="2252"/>
      </w:tblGrid>
      <w:tr w:rsidR="009D47C7" w14:paraId="1A185E14" w14:textId="77777777" w:rsidTr="00C15364">
        <w:tc>
          <w:tcPr>
            <w:tcW w:w="9046" w:type="dxa"/>
            <w:gridSpan w:val="3"/>
            <w:tcBorders>
              <w:top w:val="single" w:sz="8" w:space="0" w:color="auto"/>
              <w:left w:val="single" w:sz="8" w:space="0" w:color="auto"/>
              <w:bottom w:val="single" w:sz="2" w:space="0" w:color="auto"/>
              <w:right w:val="single" w:sz="8" w:space="0" w:color="auto"/>
            </w:tcBorders>
            <w:shd w:val="clear" w:color="auto" w:fill="7030A0"/>
            <w:vAlign w:val="center"/>
          </w:tcPr>
          <w:p w14:paraId="3DAC67D6" w14:textId="77777777" w:rsidR="009D47C7" w:rsidRPr="003C0691" w:rsidRDefault="009D47C7" w:rsidP="003B36F7">
            <w:pPr>
              <w:spacing w:line="276" w:lineRule="auto"/>
              <w:jc w:val="center"/>
              <w:rPr>
                <w:b/>
                <w:i/>
              </w:rPr>
            </w:pPr>
            <w:r w:rsidRPr="003C0691">
              <w:rPr>
                <w:b/>
                <w:i/>
                <w:color w:val="FFFFFF" w:themeColor="background1"/>
              </w:rPr>
              <w:t>Resource Exploration and Development</w:t>
            </w:r>
          </w:p>
        </w:tc>
      </w:tr>
      <w:tr w:rsidR="009D47C7" w14:paraId="64FD123D" w14:textId="77777777" w:rsidTr="009D47C7">
        <w:tc>
          <w:tcPr>
            <w:tcW w:w="2542" w:type="dxa"/>
            <w:tcBorders>
              <w:top w:val="single" w:sz="2" w:space="0" w:color="auto"/>
              <w:right w:val="nil"/>
            </w:tcBorders>
            <w:shd w:val="clear" w:color="auto" w:fill="F2F2F2" w:themeFill="background1" w:themeFillShade="F2"/>
          </w:tcPr>
          <w:p w14:paraId="33DDD6DF" w14:textId="77777777" w:rsidR="009D47C7" w:rsidRPr="00D44240" w:rsidRDefault="009D47C7" w:rsidP="003B36F7">
            <w:pPr>
              <w:jc w:val="center"/>
              <w:rPr>
                <w:i/>
              </w:rPr>
            </w:pPr>
            <w:r w:rsidRPr="00D44240">
              <w:rPr>
                <w:i/>
              </w:rPr>
              <w:t>Project/activity</w:t>
            </w:r>
          </w:p>
        </w:tc>
        <w:tc>
          <w:tcPr>
            <w:tcW w:w="4252" w:type="dxa"/>
            <w:tcBorders>
              <w:top w:val="single" w:sz="2" w:space="0" w:color="auto"/>
              <w:left w:val="nil"/>
              <w:right w:val="nil"/>
            </w:tcBorders>
            <w:shd w:val="clear" w:color="auto" w:fill="F2F2F2" w:themeFill="background1" w:themeFillShade="F2"/>
          </w:tcPr>
          <w:p w14:paraId="6088E5ED" w14:textId="77777777" w:rsidR="009D47C7" w:rsidRPr="00D44240" w:rsidRDefault="009D47C7" w:rsidP="003B36F7">
            <w:pPr>
              <w:jc w:val="center"/>
              <w:rPr>
                <w:i/>
              </w:rPr>
            </w:pPr>
            <w:r w:rsidRPr="00D44240">
              <w:rPr>
                <w:i/>
              </w:rPr>
              <w:t>Description</w:t>
            </w:r>
          </w:p>
        </w:tc>
        <w:tc>
          <w:tcPr>
            <w:tcW w:w="2252" w:type="dxa"/>
            <w:tcBorders>
              <w:top w:val="single" w:sz="2" w:space="0" w:color="auto"/>
              <w:left w:val="nil"/>
            </w:tcBorders>
            <w:shd w:val="clear" w:color="auto" w:fill="F2F2F2" w:themeFill="background1" w:themeFillShade="F2"/>
          </w:tcPr>
          <w:p w14:paraId="7EE9A8C9" w14:textId="77777777" w:rsidR="009D47C7" w:rsidRPr="00D44240" w:rsidRDefault="009D47C7" w:rsidP="003B36F7">
            <w:pPr>
              <w:jc w:val="center"/>
              <w:rPr>
                <w:i/>
              </w:rPr>
            </w:pPr>
            <w:r w:rsidRPr="00D44240">
              <w:rPr>
                <w:i/>
              </w:rPr>
              <w:t>Lead(s) and partners</w:t>
            </w:r>
          </w:p>
        </w:tc>
      </w:tr>
      <w:tr w:rsidR="009D47C7" w14:paraId="3D0CCA57" w14:textId="77777777" w:rsidTr="00430A42">
        <w:tc>
          <w:tcPr>
            <w:tcW w:w="2542" w:type="dxa"/>
          </w:tcPr>
          <w:p w14:paraId="5BB1ABAA" w14:textId="77777777" w:rsidR="009D47C7" w:rsidRPr="004A3F6C" w:rsidRDefault="00B63977" w:rsidP="003A4AD1">
            <w:pPr>
              <w:jc w:val="left"/>
              <w:rPr>
                <w:b/>
              </w:rPr>
            </w:pPr>
            <w:r w:rsidRPr="004A3F6C">
              <w:rPr>
                <w:b/>
              </w:rPr>
              <w:t>MEMA Information handbook</w:t>
            </w:r>
          </w:p>
        </w:tc>
        <w:tc>
          <w:tcPr>
            <w:tcW w:w="4252" w:type="dxa"/>
          </w:tcPr>
          <w:p w14:paraId="4A137C1D" w14:textId="5DE1D99B" w:rsidR="009D47C7" w:rsidRDefault="001129A0" w:rsidP="00CC298A">
            <w:r w:rsidRPr="005A7BD4">
              <w:t xml:space="preserve">To develop an Information handbook or </w:t>
            </w:r>
            <w:r>
              <w:t xml:space="preserve">a </w:t>
            </w:r>
            <w:r w:rsidRPr="005A7BD4">
              <w:t xml:space="preserve">reference guide as a practical tool for engagement with indigenous peoples and local communities as a follow-up to the </w:t>
            </w:r>
            <w:r w:rsidRPr="005A7BD4">
              <w:rPr>
                <w:i/>
                <w:color w:val="000000" w:themeColor="text1"/>
                <w:lang w:bidi="en-US"/>
              </w:rPr>
              <w:t>Meaningful Engagement of Indigenous Peoples and Local Communities in Marine Activities (MEMA) project.</w:t>
            </w:r>
          </w:p>
        </w:tc>
        <w:tc>
          <w:tcPr>
            <w:tcW w:w="2252" w:type="dxa"/>
          </w:tcPr>
          <w:p w14:paraId="688D38D4" w14:textId="5370E5C1" w:rsidR="009D47C7" w:rsidRPr="00B63977" w:rsidRDefault="00B63977" w:rsidP="003A4AD1">
            <w:pPr>
              <w:jc w:val="left"/>
              <w:rPr>
                <w:i/>
              </w:rPr>
            </w:pPr>
            <w:r w:rsidRPr="00B63977">
              <w:rPr>
                <w:i/>
              </w:rPr>
              <w:t>USA, Canada</w:t>
            </w:r>
            <w:r w:rsidR="001129A0">
              <w:rPr>
                <w:i/>
              </w:rPr>
              <w:t xml:space="preserve"> </w:t>
            </w:r>
            <w:r w:rsidR="001129A0" w:rsidRPr="001C168A">
              <w:rPr>
                <w:i/>
                <w:color w:val="000000" w:themeColor="text1"/>
              </w:rPr>
              <w:t>in close collaboration with the REDEG expert group)</w:t>
            </w:r>
          </w:p>
          <w:p w14:paraId="0CCA041F" w14:textId="77777777" w:rsidR="00B63977" w:rsidRDefault="00B63977" w:rsidP="003A4AD1">
            <w:pPr>
              <w:jc w:val="left"/>
            </w:pPr>
            <w:r w:rsidRPr="00B63977">
              <w:rPr>
                <w:i/>
              </w:rPr>
              <w:t>Working group partner: SDWG (TBC)</w:t>
            </w:r>
          </w:p>
        </w:tc>
      </w:tr>
      <w:tr w:rsidR="001129A0" w14:paraId="62F40248" w14:textId="77777777" w:rsidTr="00430A42">
        <w:tc>
          <w:tcPr>
            <w:tcW w:w="2542" w:type="dxa"/>
          </w:tcPr>
          <w:p w14:paraId="0B27B2B1" w14:textId="4BAD8641" w:rsidR="001129A0" w:rsidRPr="004A3F6C" w:rsidRDefault="001129A0" w:rsidP="003A4AD1">
            <w:pPr>
              <w:jc w:val="left"/>
              <w:rPr>
                <w:b/>
              </w:rPr>
            </w:pPr>
            <w:r w:rsidRPr="005A7BD4">
              <w:rPr>
                <w:rFonts w:eastAsia="Times New Roman"/>
                <w:b/>
                <w:bCs/>
              </w:rPr>
              <w:t xml:space="preserve">Guidance on Engagement of Indigenous Peoples in Offshore Oil and Gas </w:t>
            </w:r>
            <w:r w:rsidRPr="00B357FF">
              <w:rPr>
                <w:i/>
              </w:rPr>
              <w:t xml:space="preserve"> </w:t>
            </w:r>
          </w:p>
        </w:tc>
        <w:tc>
          <w:tcPr>
            <w:tcW w:w="4252" w:type="dxa"/>
          </w:tcPr>
          <w:p w14:paraId="0CFEEF52" w14:textId="4550C39D" w:rsidR="001129A0" w:rsidRPr="005A7BD4" w:rsidRDefault="001129A0" w:rsidP="00CC298A">
            <w:pPr>
              <w:rPr>
                <w:rFonts w:ascii="Calibri" w:hAnsi="Calibri" w:cs="Calibri"/>
              </w:rPr>
            </w:pPr>
            <w:r w:rsidRPr="007C7CC7">
              <w:t xml:space="preserve">The guidance for industry and government engagement in offshore oil and gas activities dates to the first Arctic Offshore Oil and Gas Guidelines over 20 years ago in 1997. These recommendations were ground breaking for the Arctic Council. Since then, we have come to a better understanding of this important aspect of regulating and managing activities.  In addition, the </w:t>
            </w:r>
            <w:r w:rsidRPr="007C7CC7">
              <w:lastRenderedPageBreak/>
              <w:t>MEMA project has provided background on meaningful engagement and good practices.  There are 29 Recommendations for engaging Indigenous Peoples and local communities from the AOOGG 2009.</w:t>
            </w:r>
          </w:p>
        </w:tc>
        <w:tc>
          <w:tcPr>
            <w:tcW w:w="2252" w:type="dxa"/>
          </w:tcPr>
          <w:p w14:paraId="3BAF0218" w14:textId="77777777" w:rsidR="001129A0" w:rsidRPr="00B63977" w:rsidRDefault="001129A0" w:rsidP="001129A0">
            <w:pPr>
              <w:jc w:val="left"/>
              <w:rPr>
                <w:i/>
              </w:rPr>
            </w:pPr>
            <w:r w:rsidRPr="00B63977">
              <w:rPr>
                <w:i/>
              </w:rPr>
              <w:lastRenderedPageBreak/>
              <w:t>USA, Canada</w:t>
            </w:r>
            <w:r>
              <w:rPr>
                <w:i/>
              </w:rPr>
              <w:t xml:space="preserve"> </w:t>
            </w:r>
            <w:r w:rsidRPr="001C168A">
              <w:rPr>
                <w:i/>
                <w:color w:val="000000" w:themeColor="text1"/>
              </w:rPr>
              <w:t>in close collaboration with the REDEG expert group)</w:t>
            </w:r>
          </w:p>
          <w:p w14:paraId="2B2FC70D" w14:textId="77777777" w:rsidR="001129A0" w:rsidRPr="00B63977" w:rsidRDefault="001129A0" w:rsidP="003A4AD1">
            <w:pPr>
              <w:jc w:val="left"/>
              <w:rPr>
                <w:i/>
              </w:rPr>
            </w:pPr>
          </w:p>
        </w:tc>
      </w:tr>
      <w:tr w:rsidR="001129A0" w14:paraId="1B8AC8C4" w14:textId="77777777" w:rsidTr="00430A42">
        <w:tc>
          <w:tcPr>
            <w:tcW w:w="2542" w:type="dxa"/>
          </w:tcPr>
          <w:p w14:paraId="00DFE157" w14:textId="67876735" w:rsidR="001129A0" w:rsidRPr="004A3F6C" w:rsidRDefault="001129A0" w:rsidP="003A4AD1">
            <w:pPr>
              <w:jc w:val="left"/>
              <w:rPr>
                <w:b/>
              </w:rPr>
            </w:pPr>
            <w:r w:rsidRPr="005A7BD4">
              <w:rPr>
                <w:rFonts w:ascii="Calibri" w:eastAsia="Times New Roman" w:hAnsi="Calibri" w:cs="Calibri"/>
                <w:b/>
                <w:bCs/>
              </w:rPr>
              <w:t>Guidance on Non-Emergency Operations, Monitoring, and Decommissioning/Site Clearance</w:t>
            </w:r>
          </w:p>
        </w:tc>
        <w:tc>
          <w:tcPr>
            <w:tcW w:w="4252" w:type="dxa"/>
          </w:tcPr>
          <w:p w14:paraId="27D4888B" w14:textId="49E228CF" w:rsidR="001129A0" w:rsidRPr="005A7BD4" w:rsidRDefault="001129A0" w:rsidP="00CC298A">
            <w:pPr>
              <w:rPr>
                <w:rFonts w:ascii="Calibri" w:hAnsi="Calibri" w:cs="Calibri"/>
              </w:rPr>
            </w:pPr>
            <w:r w:rsidRPr="007C7CC7">
              <w:t>In response to the call for a periodic review of the guidance contained in the 2009 Arctic Offshore Oil and Gas Guidelines, recognizing that the EPPR has the mandate for the emergency topics covered in the 2009 AOOGG, and further recognizing the new Arctic Offshore Regulator Forum and their focus on operational issues</w:t>
            </w:r>
            <w:r w:rsidR="00CC298A">
              <w:t>. T</w:t>
            </w:r>
            <w:r w:rsidRPr="007C7CC7">
              <w:t xml:space="preserve">he PAME </w:t>
            </w:r>
            <w:r w:rsidRPr="007C7CC7">
              <w:rPr>
                <w:color w:val="000000" w:themeColor="text1"/>
              </w:rPr>
              <w:t>Resource Exploration and Development Expert Group (REDEG) determined that updating sections (4) Environmental Monitoring, (5.2) Compliance Monitoring, (6.1) Waste Management, (6.2) Use and Discharge of Chemicals, (6.3) Emissions to Air, and Decommissioning and Site Clearance (8.0) could be a useful objective.</w:t>
            </w:r>
          </w:p>
        </w:tc>
        <w:tc>
          <w:tcPr>
            <w:tcW w:w="2252" w:type="dxa"/>
          </w:tcPr>
          <w:p w14:paraId="776AC914" w14:textId="77777777" w:rsidR="001129A0" w:rsidRPr="00B63977" w:rsidRDefault="001129A0" w:rsidP="001129A0">
            <w:pPr>
              <w:jc w:val="left"/>
              <w:rPr>
                <w:i/>
              </w:rPr>
            </w:pPr>
            <w:r w:rsidRPr="00B63977">
              <w:rPr>
                <w:i/>
              </w:rPr>
              <w:t>USA, Canada</w:t>
            </w:r>
            <w:r>
              <w:rPr>
                <w:i/>
              </w:rPr>
              <w:t xml:space="preserve"> </w:t>
            </w:r>
            <w:r w:rsidRPr="001C168A">
              <w:rPr>
                <w:i/>
                <w:color w:val="000000" w:themeColor="text1"/>
              </w:rPr>
              <w:t>in close collaboration with the REDEG expert group)</w:t>
            </w:r>
          </w:p>
          <w:p w14:paraId="1F871058" w14:textId="77777777" w:rsidR="001129A0" w:rsidRPr="00B63977" w:rsidRDefault="001129A0" w:rsidP="003A4AD1">
            <w:pPr>
              <w:jc w:val="left"/>
              <w:rPr>
                <w:i/>
              </w:rPr>
            </w:pPr>
          </w:p>
        </w:tc>
      </w:tr>
      <w:tr w:rsidR="000E3C3F" w14:paraId="7CB33D37" w14:textId="77777777" w:rsidTr="00430A42">
        <w:tc>
          <w:tcPr>
            <w:tcW w:w="2542" w:type="dxa"/>
          </w:tcPr>
          <w:p w14:paraId="10EC9628" w14:textId="77777777" w:rsidR="000E3C3F" w:rsidRPr="00FF616D" w:rsidRDefault="000E3C3F" w:rsidP="003A4AD1">
            <w:pPr>
              <w:jc w:val="left"/>
              <w:rPr>
                <w:b/>
              </w:rPr>
            </w:pPr>
            <w:r w:rsidRPr="00FF616D">
              <w:rPr>
                <w:b/>
              </w:rPr>
              <w:t>Follow-up on the Framework Plan on Oil Pollution Prevention (FP-OPP)</w:t>
            </w:r>
          </w:p>
        </w:tc>
        <w:tc>
          <w:tcPr>
            <w:tcW w:w="4252" w:type="dxa"/>
          </w:tcPr>
          <w:p w14:paraId="5F4939E6" w14:textId="77777777" w:rsidR="000E3C3F" w:rsidRDefault="000E3C3F" w:rsidP="00CC298A">
            <w:r w:rsidRPr="000E3C3F">
              <w:t>EPPR, in cooperation with PAME, will continue to report on the status of implementation of the FP-OPP. The Status Report on implementation identifies follow-up activities that support the objectives in the Framework Plan. The report will include input from other Arctic Council working groups and relevant stakeholders capturing activities that are already taking place.</w:t>
            </w:r>
          </w:p>
        </w:tc>
        <w:tc>
          <w:tcPr>
            <w:tcW w:w="2252" w:type="dxa"/>
          </w:tcPr>
          <w:p w14:paraId="68428E1F" w14:textId="3C660339" w:rsidR="000E3C3F" w:rsidRDefault="000E3C3F" w:rsidP="003A4AD1">
            <w:pPr>
              <w:jc w:val="left"/>
              <w:rPr>
                <w:i/>
              </w:rPr>
            </w:pPr>
            <w:r>
              <w:rPr>
                <w:i/>
              </w:rPr>
              <w:t>USA, Canada</w:t>
            </w:r>
            <w:r w:rsidR="000017D4">
              <w:rPr>
                <w:i/>
                <w:color w:val="000000" w:themeColor="text1"/>
              </w:rPr>
              <w:t xml:space="preserve"> in </w:t>
            </w:r>
            <w:proofErr w:type="spellStart"/>
            <w:r w:rsidR="000017D4">
              <w:rPr>
                <w:i/>
                <w:color w:val="000000" w:themeColor="text1"/>
              </w:rPr>
              <w:t>clos</w:t>
            </w:r>
            <w:proofErr w:type="spellEnd"/>
            <w:r w:rsidR="000017D4">
              <w:rPr>
                <w:i/>
                <w:color w:val="000000" w:themeColor="text1"/>
              </w:rPr>
              <w:t xml:space="preserve"> collaboration with the </w:t>
            </w:r>
            <w:r>
              <w:rPr>
                <w:i/>
              </w:rPr>
              <w:t>Shipping Experts Group</w:t>
            </w:r>
          </w:p>
          <w:p w14:paraId="5C5324AF" w14:textId="77777777" w:rsidR="000E3C3F" w:rsidRDefault="000E3C3F" w:rsidP="003A4AD1">
            <w:pPr>
              <w:jc w:val="left"/>
              <w:rPr>
                <w:i/>
              </w:rPr>
            </w:pPr>
            <w:r>
              <w:rPr>
                <w:i/>
              </w:rPr>
              <w:t>Working group partner: EPPR</w:t>
            </w:r>
          </w:p>
        </w:tc>
      </w:tr>
    </w:tbl>
    <w:p w14:paraId="0340598D" w14:textId="77777777" w:rsidR="009433CD" w:rsidRDefault="009433CD" w:rsidP="003A4AD1">
      <w:pPr>
        <w:jc w:val="left"/>
      </w:pPr>
    </w:p>
    <w:p w14:paraId="56B81F5B" w14:textId="04447774" w:rsidR="00CC298A" w:rsidRDefault="00CC298A">
      <w:pPr>
        <w:spacing w:before="0" w:after="0"/>
        <w:jc w:val="left"/>
      </w:pPr>
      <w:r>
        <w:br w:type="page"/>
      </w:r>
    </w:p>
    <w:p w14:paraId="51A73FFB" w14:textId="77777777" w:rsidR="009433CD" w:rsidRDefault="009433CD" w:rsidP="003A4AD1">
      <w:pPr>
        <w:jc w:val="left"/>
      </w:pPr>
    </w:p>
    <w:p w14:paraId="7097DB8C" w14:textId="77777777" w:rsidR="00615137" w:rsidRDefault="00615137" w:rsidP="003A4AD1">
      <w:pPr>
        <w:jc w:val="left"/>
        <w:rPr>
          <w:b/>
          <w:color w:val="000000" w:themeColor="text1"/>
        </w:rPr>
      </w:pPr>
      <w:r w:rsidRPr="00C26A78">
        <w:rPr>
          <w:b/>
          <w:noProof/>
          <w:color w:val="000000" w:themeColor="text1"/>
          <w:u w:val="single"/>
          <w:lang w:val="en-GB" w:eastAsia="en-GB"/>
        </w:rPr>
        <mc:AlternateContent>
          <mc:Choice Requires="wps">
            <w:drawing>
              <wp:inline distT="0" distB="0" distL="0" distR="0" wp14:anchorId="4C038D4E" wp14:editId="3F50C8DF">
                <wp:extent cx="5829300" cy="1442545"/>
                <wp:effectExtent l="0" t="0" r="12700" b="18415"/>
                <wp:docPr id="4" name="Rectangle 4"/>
                <wp:cNvGraphicFramePr/>
                <a:graphic xmlns:a="http://schemas.openxmlformats.org/drawingml/2006/main">
                  <a:graphicData uri="http://schemas.microsoft.com/office/word/2010/wordprocessingShape">
                    <wps:wsp>
                      <wps:cNvSpPr/>
                      <wps:spPr>
                        <a:xfrm>
                          <a:off x="0" y="0"/>
                          <a:ext cx="5829300" cy="1442545"/>
                        </a:xfrm>
                        <a:prstGeom prst="rect">
                          <a:avLst/>
                        </a:prstGeom>
                        <a:gradFill>
                          <a:gsLst>
                            <a:gs pos="0">
                              <a:srgbClr val="6E3522"/>
                            </a:gs>
                            <a:gs pos="23000">
                              <a:srgbClr val="6E3522"/>
                            </a:gs>
                            <a:gs pos="69000">
                              <a:srgbClr val="6E3522"/>
                            </a:gs>
                            <a:gs pos="97000">
                              <a:srgbClr val="6E3522"/>
                            </a:gs>
                          </a:gsLst>
                          <a:lin ang="2700000" scaled="0"/>
                        </a:gradFill>
                      </wps:spPr>
                      <wps:style>
                        <a:lnRef idx="1">
                          <a:schemeClr val="accent1"/>
                        </a:lnRef>
                        <a:fillRef idx="3">
                          <a:schemeClr val="accent1"/>
                        </a:fillRef>
                        <a:effectRef idx="2">
                          <a:schemeClr val="accent1"/>
                        </a:effectRef>
                        <a:fontRef idx="minor">
                          <a:schemeClr val="lt1"/>
                        </a:fontRef>
                      </wps:style>
                      <wps:txbx>
                        <w:txbxContent>
                          <w:p w14:paraId="0B6EEFB1" w14:textId="77777777" w:rsidR="00615137" w:rsidRPr="003B3F7D" w:rsidRDefault="00615137" w:rsidP="00615137">
                            <w:pPr>
                              <w:jc w:val="center"/>
                              <w:rPr>
                                <w:b/>
                                <w:i/>
                                <w:color w:val="FFFFFF" w:themeColor="background1"/>
                                <w:sz w:val="32"/>
                                <w:szCs w:val="32"/>
                              </w:rPr>
                            </w:pPr>
                            <w:r w:rsidRPr="00615137">
                              <w:rPr>
                                <w:b/>
                                <w:color w:val="FFFFFF" w:themeColor="background1"/>
                                <w:sz w:val="32"/>
                                <w:szCs w:val="32"/>
                                <w:u w:val="single"/>
                              </w:rPr>
                              <w:t>AMSP</w:t>
                            </w:r>
                            <w:r>
                              <w:rPr>
                                <w:b/>
                                <w:color w:val="FFFFFF" w:themeColor="background1"/>
                                <w:sz w:val="32"/>
                                <w:szCs w:val="32"/>
                                <w:u w:val="single"/>
                              </w:rPr>
                              <w:t>:</w:t>
                            </w:r>
                            <w:r w:rsidRPr="00615137">
                              <w:rPr>
                                <w:b/>
                                <w:color w:val="FFFFFF" w:themeColor="background1"/>
                                <w:sz w:val="32"/>
                                <w:szCs w:val="32"/>
                                <w:u w:val="single"/>
                              </w:rPr>
                              <w:t xml:space="preserve"> G</w:t>
                            </w:r>
                            <w:r>
                              <w:rPr>
                                <w:b/>
                                <w:color w:val="FFFFFF" w:themeColor="background1"/>
                                <w:sz w:val="32"/>
                                <w:szCs w:val="32"/>
                                <w:u w:val="single"/>
                              </w:rPr>
                              <w:t>OAL</w:t>
                            </w:r>
                            <w:r w:rsidRPr="00615137">
                              <w:rPr>
                                <w:b/>
                                <w:color w:val="FFFFFF" w:themeColor="background1"/>
                                <w:sz w:val="32"/>
                                <w:szCs w:val="32"/>
                                <w:u w:val="single"/>
                              </w:rPr>
                              <w:t xml:space="preserve"> 4</w:t>
                            </w:r>
                            <w:r>
                              <w:rPr>
                                <w:b/>
                                <w:color w:val="FFFFFF" w:themeColor="background1"/>
                                <w:sz w:val="32"/>
                                <w:szCs w:val="32"/>
                              </w:rPr>
                              <w:br/>
                            </w:r>
                            <w:r w:rsidRPr="003B3F7D">
                              <w:rPr>
                                <w:b/>
                                <w:i/>
                                <w:color w:val="FFFFFF" w:themeColor="background1"/>
                                <w:sz w:val="32"/>
                                <w:szCs w:val="32"/>
                              </w:rPr>
                              <w:t>Enhance the economic, social and cultural well-being of Arctic inhabitants, including Arctic Indigenous Peoples and strengthen their capacity to adapt to changes in the Arctic marine environment.</w:t>
                            </w:r>
                          </w:p>
                          <w:p w14:paraId="39EE183E" w14:textId="77777777" w:rsidR="00615137" w:rsidRPr="00910AAC" w:rsidRDefault="00615137" w:rsidP="006151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038D4E" id="Rectangle 4" o:spid="_x0000_s1029" style="width:459pt;height:1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" fillcolor="#6e3522" strokecolor="#4472c4 [3204]" strokeweight=".5pt">
                <v:fill color2="#6e3522" rotate="t" angle="45" colors="0 #6e3522;15073f #6e3522;45220f #6e3522;63570f #6e3522" focus="100%" type="gradient">
                  <o:fill v:ext="view" type="gradientUnscaled"/>
                </v:fill>
                <v:textbox>
                  <w:txbxContent>
                    <w:p w14:paraId="0B6EEFB1" w14:textId="77777777" w:rsidR="00615137" w:rsidRPr="003B3F7D" w:rsidRDefault="00615137" w:rsidP="00615137">
                      <w:pPr>
                        <w:jc w:val="center"/>
                        <w:rPr>
                          <w:b/>
                          <w:i/>
                          <w:color w:val="FFFFFF" w:themeColor="background1"/>
                          <w:sz w:val="32"/>
                          <w:szCs w:val="32"/>
                        </w:rPr>
                      </w:pPr>
                      <w:r w:rsidRPr="00615137">
                        <w:rPr>
                          <w:b/>
                          <w:color w:val="FFFFFF" w:themeColor="background1"/>
                          <w:sz w:val="32"/>
                          <w:szCs w:val="32"/>
                          <w:u w:val="single"/>
                        </w:rPr>
                        <w:t>AMSP</w:t>
                      </w:r>
                      <w:r>
                        <w:rPr>
                          <w:b/>
                          <w:color w:val="FFFFFF" w:themeColor="background1"/>
                          <w:sz w:val="32"/>
                          <w:szCs w:val="32"/>
                          <w:u w:val="single"/>
                        </w:rPr>
                        <w:t>:</w:t>
                      </w:r>
                      <w:r w:rsidRPr="00615137">
                        <w:rPr>
                          <w:b/>
                          <w:color w:val="FFFFFF" w:themeColor="background1"/>
                          <w:sz w:val="32"/>
                          <w:szCs w:val="32"/>
                          <w:u w:val="single"/>
                        </w:rPr>
                        <w:t xml:space="preserve"> G</w:t>
                      </w:r>
                      <w:r>
                        <w:rPr>
                          <w:b/>
                          <w:color w:val="FFFFFF" w:themeColor="background1"/>
                          <w:sz w:val="32"/>
                          <w:szCs w:val="32"/>
                          <w:u w:val="single"/>
                        </w:rPr>
                        <w:t>OAL</w:t>
                      </w:r>
                      <w:r w:rsidRPr="00615137">
                        <w:rPr>
                          <w:b/>
                          <w:color w:val="FFFFFF" w:themeColor="background1"/>
                          <w:sz w:val="32"/>
                          <w:szCs w:val="32"/>
                          <w:u w:val="single"/>
                        </w:rPr>
                        <w:t xml:space="preserve"> 4</w:t>
                      </w:r>
                      <w:r>
                        <w:rPr>
                          <w:b/>
                          <w:color w:val="FFFFFF" w:themeColor="background1"/>
                          <w:sz w:val="32"/>
                          <w:szCs w:val="32"/>
                        </w:rPr>
                        <w:br/>
                      </w:r>
                      <w:r w:rsidRPr="003B3F7D">
                        <w:rPr>
                          <w:b/>
                          <w:i/>
                          <w:color w:val="FFFFFF" w:themeColor="background1"/>
                          <w:sz w:val="32"/>
                          <w:szCs w:val="32"/>
                        </w:rPr>
                        <w:t>Enhance the economic, social and cultural well-being of Arctic inhabitants, including Arctic Indigenous Peoples and strengthen their capacity to adapt to changes in the Arctic marine environment.</w:t>
                      </w:r>
                    </w:p>
                    <w:p w14:paraId="39EE183E" w14:textId="77777777" w:rsidR="00615137" w:rsidRPr="00910AAC" w:rsidRDefault="00615137" w:rsidP="00615137">
                      <w:pPr>
                        <w:jc w:val="center"/>
                      </w:pPr>
                    </w:p>
                  </w:txbxContent>
                </v:textbox>
                <w10:anchorlock/>
              </v:rect>
            </w:pict>
          </mc:Fallback>
        </mc:AlternateContent>
      </w:r>
    </w:p>
    <w:p w14:paraId="0CCE7383" w14:textId="77777777" w:rsidR="00615137" w:rsidRDefault="00615137" w:rsidP="003A4AD1">
      <w:pPr>
        <w:jc w:val="left"/>
        <w:rPr>
          <w:b/>
          <w:color w:val="000000" w:themeColor="text1"/>
        </w:rPr>
      </w:pPr>
      <w:r>
        <w:rPr>
          <w:b/>
          <w:color w:val="000000" w:themeColor="text1"/>
        </w:rPr>
        <w:t>BACKGROUND:</w:t>
      </w:r>
    </w:p>
    <w:p w14:paraId="6732208F" w14:textId="77777777" w:rsidR="00615137" w:rsidRDefault="00615137" w:rsidP="003A4AD1">
      <w:pPr>
        <w:jc w:val="left"/>
      </w:pPr>
      <w:r w:rsidRPr="00F476C5">
        <w:t xml:space="preserve">The health, well-being, and adaptability of </w:t>
      </w:r>
      <w:r w:rsidRPr="00AB1593">
        <w:t xml:space="preserve">Arctic </w:t>
      </w:r>
      <w:r>
        <w:t>i</w:t>
      </w:r>
      <w:r w:rsidRPr="00AB1593">
        <w:t>ndigenous</w:t>
      </w:r>
      <w:r>
        <w:t xml:space="preserve"> peoples</w:t>
      </w:r>
      <w:r w:rsidRPr="00AB1593">
        <w:t xml:space="preserve"> </w:t>
      </w:r>
      <w:r>
        <w:t xml:space="preserve">and local communities </w:t>
      </w:r>
      <w:r w:rsidRPr="00F476C5">
        <w:t>are closely linked to the health of the marine ecosystems upon which they rely for food, commerce and cultural needs.</w:t>
      </w:r>
      <w:r w:rsidRPr="006B2342">
        <w:t xml:space="preserve"> Changes to marine ecosystems resulting from global climate change, the introduction of contaminants from outside the region, and other stressors can affect both the access to traditional foods and the quality of that food for </w:t>
      </w:r>
      <w:r>
        <w:t>i</w:t>
      </w:r>
      <w:r w:rsidRPr="006B2342">
        <w:t>ndigenous</w:t>
      </w:r>
      <w:r>
        <w:t xml:space="preserve"> peoples</w:t>
      </w:r>
      <w:r w:rsidRPr="006B2342">
        <w:t xml:space="preserve"> and local communities. </w:t>
      </w:r>
      <w:r>
        <w:t>It is likely that those living a traditional lifestyle will be most vulnerable to human health impacts from climate change related issues.</w:t>
      </w:r>
    </w:p>
    <w:p w14:paraId="09180217" w14:textId="77777777" w:rsidR="00615137" w:rsidRDefault="00615137" w:rsidP="003A4AD1">
      <w:pPr>
        <w:jc w:val="left"/>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2"/>
        <w:gridCol w:w="4252"/>
        <w:gridCol w:w="2252"/>
      </w:tblGrid>
      <w:tr w:rsidR="000C569D" w14:paraId="33FADC19" w14:textId="77777777" w:rsidTr="000C569D">
        <w:tc>
          <w:tcPr>
            <w:tcW w:w="9046" w:type="dxa"/>
            <w:gridSpan w:val="3"/>
            <w:tcBorders>
              <w:top w:val="single" w:sz="8" w:space="0" w:color="auto"/>
              <w:left w:val="single" w:sz="8" w:space="0" w:color="auto"/>
              <w:bottom w:val="single" w:sz="2" w:space="0" w:color="auto"/>
              <w:right w:val="single" w:sz="8" w:space="0" w:color="auto"/>
            </w:tcBorders>
            <w:shd w:val="clear" w:color="auto" w:fill="6E3522"/>
            <w:vAlign w:val="center"/>
          </w:tcPr>
          <w:p w14:paraId="7914F4A8" w14:textId="77777777" w:rsidR="000C569D" w:rsidRPr="000C569D" w:rsidRDefault="000C569D" w:rsidP="003B36F7">
            <w:pPr>
              <w:spacing w:line="276" w:lineRule="auto"/>
              <w:jc w:val="center"/>
              <w:rPr>
                <w:b/>
              </w:rPr>
            </w:pPr>
            <w:r w:rsidRPr="000C569D">
              <w:rPr>
                <w:b/>
                <w:color w:val="FFFFFF" w:themeColor="background1"/>
              </w:rPr>
              <w:t>Capacity building, information outreach and collaboration</w:t>
            </w:r>
          </w:p>
        </w:tc>
      </w:tr>
      <w:tr w:rsidR="000C569D" w14:paraId="20E24130" w14:textId="77777777" w:rsidTr="00430A42">
        <w:tc>
          <w:tcPr>
            <w:tcW w:w="2542" w:type="dxa"/>
            <w:tcBorders>
              <w:top w:val="single" w:sz="2" w:space="0" w:color="auto"/>
              <w:right w:val="nil"/>
            </w:tcBorders>
            <w:shd w:val="clear" w:color="auto" w:fill="F2F2F2" w:themeFill="background1" w:themeFillShade="F2"/>
          </w:tcPr>
          <w:p w14:paraId="39DA89B8" w14:textId="77777777" w:rsidR="000C569D" w:rsidRPr="00D44240" w:rsidRDefault="000C569D" w:rsidP="003B36F7">
            <w:pPr>
              <w:jc w:val="center"/>
              <w:rPr>
                <w:i/>
              </w:rPr>
            </w:pPr>
            <w:r w:rsidRPr="00D44240">
              <w:rPr>
                <w:i/>
              </w:rPr>
              <w:t>Project/activity</w:t>
            </w:r>
          </w:p>
        </w:tc>
        <w:tc>
          <w:tcPr>
            <w:tcW w:w="4252" w:type="dxa"/>
            <w:tcBorders>
              <w:top w:val="single" w:sz="2" w:space="0" w:color="auto"/>
              <w:left w:val="nil"/>
              <w:right w:val="nil"/>
            </w:tcBorders>
            <w:shd w:val="clear" w:color="auto" w:fill="F2F2F2" w:themeFill="background1" w:themeFillShade="F2"/>
          </w:tcPr>
          <w:p w14:paraId="0FE21B22" w14:textId="77777777" w:rsidR="000C569D" w:rsidRPr="00D44240" w:rsidRDefault="000C569D" w:rsidP="003B36F7">
            <w:pPr>
              <w:jc w:val="center"/>
              <w:rPr>
                <w:i/>
              </w:rPr>
            </w:pPr>
            <w:r w:rsidRPr="00D44240">
              <w:rPr>
                <w:i/>
              </w:rPr>
              <w:t>Description</w:t>
            </w:r>
          </w:p>
        </w:tc>
        <w:tc>
          <w:tcPr>
            <w:tcW w:w="2252" w:type="dxa"/>
            <w:tcBorders>
              <w:top w:val="single" w:sz="2" w:space="0" w:color="auto"/>
              <w:left w:val="nil"/>
            </w:tcBorders>
            <w:shd w:val="clear" w:color="auto" w:fill="F2F2F2" w:themeFill="background1" w:themeFillShade="F2"/>
          </w:tcPr>
          <w:p w14:paraId="70379F2C" w14:textId="77777777" w:rsidR="000C569D" w:rsidRPr="00D44240" w:rsidRDefault="000C569D" w:rsidP="003B36F7">
            <w:pPr>
              <w:jc w:val="center"/>
              <w:rPr>
                <w:i/>
              </w:rPr>
            </w:pPr>
            <w:r w:rsidRPr="00D44240">
              <w:rPr>
                <w:i/>
              </w:rPr>
              <w:t>Lead(s) and partners</w:t>
            </w:r>
          </w:p>
        </w:tc>
      </w:tr>
      <w:tr w:rsidR="001D6C98" w14:paraId="70661406" w14:textId="77777777" w:rsidTr="00430A42">
        <w:tc>
          <w:tcPr>
            <w:tcW w:w="2542" w:type="dxa"/>
          </w:tcPr>
          <w:p w14:paraId="22EB9EFD" w14:textId="77777777" w:rsidR="001D6C98" w:rsidRPr="00EC4AA2" w:rsidRDefault="001D6C98" w:rsidP="001D6C98">
            <w:pPr>
              <w:jc w:val="left"/>
              <w:rPr>
                <w:b/>
                <w:u w:val="single"/>
              </w:rPr>
            </w:pPr>
            <w:r w:rsidRPr="00EC4AA2">
              <w:rPr>
                <w:b/>
              </w:rPr>
              <w:t>Capacity building, information outreach and collaboration</w:t>
            </w:r>
          </w:p>
        </w:tc>
        <w:tc>
          <w:tcPr>
            <w:tcW w:w="4252" w:type="dxa"/>
          </w:tcPr>
          <w:p w14:paraId="443F0D80" w14:textId="77777777" w:rsidR="001D6C98" w:rsidRDefault="001D6C98" w:rsidP="001D6C98">
            <w:pPr>
              <w:pStyle w:val="ListParagraph"/>
              <w:numPr>
                <w:ilvl w:val="0"/>
                <w:numId w:val="6"/>
              </w:numPr>
              <w:ind w:left="357" w:hanging="357"/>
              <w:contextualSpacing w:val="0"/>
            </w:pPr>
            <w:r>
              <w:t>Strengthen information outreach and cooperation and collaboration with international/regional organizations and to build</w:t>
            </w:r>
            <w:r w:rsidRPr="00D67596">
              <w:t xml:space="preserve"> </w:t>
            </w:r>
            <w:r>
              <w:t>the capacity and engagement of indigenous communities and other Arctic inhabitants.</w:t>
            </w:r>
          </w:p>
          <w:p w14:paraId="41F5CD2E" w14:textId="77777777" w:rsidR="001D6C98" w:rsidRDefault="001D6C98" w:rsidP="001D6C98">
            <w:pPr>
              <w:pStyle w:val="ListParagraph"/>
              <w:numPr>
                <w:ilvl w:val="0"/>
                <w:numId w:val="6"/>
              </w:numPr>
              <w:ind w:left="357" w:hanging="357"/>
              <w:contextualSpacing w:val="0"/>
            </w:pPr>
            <w:r>
              <w:t xml:space="preserve">Liaise and exchange information with relevant organizations and programs (e.g. UNEP Regional Seas </w:t>
            </w:r>
            <w:proofErr w:type="spellStart"/>
            <w:r>
              <w:t>Programme</w:t>
            </w:r>
            <w:proofErr w:type="spellEnd"/>
            <w:r>
              <w:t>), and other regional programs.</w:t>
            </w:r>
          </w:p>
          <w:p w14:paraId="0DCD23D9" w14:textId="77777777" w:rsidR="001D6C98" w:rsidRDefault="001D6C98" w:rsidP="001D6C98">
            <w:pPr>
              <w:pStyle w:val="ListParagraph"/>
              <w:numPr>
                <w:ilvl w:val="0"/>
                <w:numId w:val="6"/>
              </w:numPr>
              <w:ind w:left="357" w:hanging="357"/>
              <w:contextualSpacing w:val="0"/>
            </w:pPr>
            <w:r>
              <w:t>Encourage activities and proposals from Permanent Participants.</w:t>
            </w:r>
          </w:p>
          <w:p w14:paraId="11E4EFE9" w14:textId="77777777" w:rsidR="001D6C98" w:rsidRPr="00EC4AA2" w:rsidRDefault="001D6C98" w:rsidP="001D6C98">
            <w:pPr>
              <w:pStyle w:val="ListParagraph"/>
              <w:numPr>
                <w:ilvl w:val="0"/>
                <w:numId w:val="6"/>
              </w:numPr>
              <w:ind w:left="357" w:hanging="357"/>
              <w:contextualSpacing w:val="0"/>
              <w:rPr>
                <w:u w:val="single"/>
              </w:rPr>
            </w:pPr>
            <w:r>
              <w:t>Strive for the development of outreach and communication efforts and plans for PAME’s activities (e.g. through updates on the PAME homepage, brochures, roll-up stands, other communication material)</w:t>
            </w:r>
          </w:p>
        </w:tc>
        <w:tc>
          <w:tcPr>
            <w:tcW w:w="2252" w:type="dxa"/>
          </w:tcPr>
          <w:p w14:paraId="16D47A57" w14:textId="77777777" w:rsidR="001D6C98" w:rsidRPr="001D6C98" w:rsidRDefault="001D6C98" w:rsidP="001D6C98">
            <w:pPr>
              <w:spacing w:line="276" w:lineRule="auto"/>
              <w:rPr>
                <w:i/>
                <w:u w:val="single"/>
              </w:rPr>
            </w:pPr>
            <w:r w:rsidRPr="001D6C98">
              <w:rPr>
                <w:i/>
              </w:rPr>
              <w:t>PAME Chair/Secretariat</w:t>
            </w:r>
          </w:p>
        </w:tc>
      </w:tr>
    </w:tbl>
    <w:p w14:paraId="06EB3226" w14:textId="77777777" w:rsidR="001D6C98" w:rsidRDefault="001D6C98">
      <w:pPr>
        <w:spacing w:before="0" w:after="0"/>
        <w:jc w:val="left"/>
      </w:pPr>
      <w:r>
        <w:br w:type="page"/>
      </w:r>
    </w:p>
    <w:p w14:paraId="07EF9C66" w14:textId="77777777" w:rsidR="00477893" w:rsidRDefault="00477893" w:rsidP="001D6C98">
      <w:pPr>
        <w:pStyle w:val="Heading1"/>
      </w:pPr>
      <w:bookmarkStart w:id="14" w:name="_Toc536620131"/>
      <w:r>
        <w:lastRenderedPageBreak/>
        <w:t>A</w:t>
      </w:r>
      <w:r w:rsidR="001D6C98">
        <w:t>nnex I</w:t>
      </w:r>
      <w:r>
        <w:t>: XXX</w:t>
      </w:r>
      <w:bookmarkEnd w:id="14"/>
    </w:p>
    <w:p w14:paraId="0E4F9833" w14:textId="77777777" w:rsidR="00477893" w:rsidRPr="001D6C98" w:rsidRDefault="001D6C98" w:rsidP="001D6C98">
      <w:pPr>
        <w:jc w:val="center"/>
        <w:rPr>
          <w:i/>
        </w:rPr>
      </w:pPr>
      <w:r w:rsidRPr="001D6C98">
        <w:rPr>
          <w:i/>
        </w:rPr>
        <w:t>To be inserted</w:t>
      </w:r>
    </w:p>
    <w:p w14:paraId="1E8E9746" w14:textId="77777777" w:rsidR="00477893" w:rsidRDefault="00477893" w:rsidP="003A4AD1">
      <w:pPr>
        <w:jc w:val="left"/>
      </w:pPr>
    </w:p>
    <w:p w14:paraId="5F4E1B7D" w14:textId="77777777" w:rsidR="00477893" w:rsidRDefault="00477893" w:rsidP="003B36F7">
      <w:pPr>
        <w:pStyle w:val="Heading1"/>
      </w:pPr>
      <w:bookmarkStart w:id="15" w:name="_Toc536620132"/>
      <w:r>
        <w:t>A</w:t>
      </w:r>
      <w:r w:rsidR="001D6C98">
        <w:t xml:space="preserve">nnex </w:t>
      </w:r>
      <w:r>
        <w:t>II: XXX</w:t>
      </w:r>
      <w:bookmarkEnd w:id="15"/>
    </w:p>
    <w:p w14:paraId="52817A0D" w14:textId="77777777" w:rsidR="001D6C98" w:rsidRPr="001D6C98" w:rsidRDefault="001D6C98" w:rsidP="001D6C98">
      <w:pPr>
        <w:jc w:val="center"/>
        <w:rPr>
          <w:i/>
        </w:rPr>
      </w:pPr>
      <w:r w:rsidRPr="001D6C98">
        <w:rPr>
          <w:i/>
        </w:rPr>
        <w:t>To be inserted</w:t>
      </w:r>
    </w:p>
    <w:p w14:paraId="4C34374A" w14:textId="77777777" w:rsidR="00477893" w:rsidRDefault="00477893" w:rsidP="003A4AD1">
      <w:pPr>
        <w:jc w:val="left"/>
      </w:pPr>
    </w:p>
    <w:p w14:paraId="0A39E14F" w14:textId="77777777" w:rsidR="00477893" w:rsidRDefault="00477893" w:rsidP="003B36F7">
      <w:pPr>
        <w:pStyle w:val="Heading1"/>
      </w:pPr>
      <w:bookmarkStart w:id="16" w:name="_Toc536620133"/>
      <w:r>
        <w:t>A</w:t>
      </w:r>
      <w:r w:rsidR="001D6C98">
        <w:t xml:space="preserve">nnex </w:t>
      </w:r>
      <w:r>
        <w:t>III: XXX</w:t>
      </w:r>
      <w:bookmarkEnd w:id="16"/>
    </w:p>
    <w:p w14:paraId="69855BDA" w14:textId="77777777" w:rsidR="00477893" w:rsidRPr="001D6C98" w:rsidRDefault="001D6C98" w:rsidP="001D6C98">
      <w:pPr>
        <w:jc w:val="center"/>
        <w:rPr>
          <w:i/>
        </w:rPr>
      </w:pPr>
      <w:r w:rsidRPr="001D6C98">
        <w:rPr>
          <w:i/>
        </w:rPr>
        <w:t>To be inserted</w:t>
      </w:r>
    </w:p>
    <w:p w14:paraId="3C21B753" w14:textId="77777777" w:rsidR="00477893" w:rsidRDefault="00477893" w:rsidP="003A4AD1">
      <w:pPr>
        <w:jc w:val="left"/>
      </w:pPr>
    </w:p>
    <w:p w14:paraId="7482D207" w14:textId="77777777" w:rsidR="00477893" w:rsidRDefault="00477893" w:rsidP="003B36F7">
      <w:pPr>
        <w:pStyle w:val="Heading1"/>
      </w:pPr>
      <w:bookmarkStart w:id="17" w:name="_Toc536620134"/>
      <w:r>
        <w:t>A</w:t>
      </w:r>
      <w:r w:rsidR="001D6C98">
        <w:t xml:space="preserve">nnex </w:t>
      </w:r>
      <w:r>
        <w:t>IV: XXX</w:t>
      </w:r>
      <w:bookmarkEnd w:id="17"/>
    </w:p>
    <w:p w14:paraId="59C03F71" w14:textId="77777777" w:rsidR="00477893" w:rsidRPr="001D6C98" w:rsidRDefault="001D6C98" w:rsidP="001D6C98">
      <w:pPr>
        <w:jc w:val="center"/>
        <w:rPr>
          <w:i/>
        </w:rPr>
      </w:pPr>
      <w:r w:rsidRPr="001D6C98">
        <w:rPr>
          <w:i/>
        </w:rPr>
        <w:t>To be inserted</w:t>
      </w:r>
    </w:p>
    <w:p w14:paraId="3F4EB747" w14:textId="77777777" w:rsidR="00477893" w:rsidRDefault="00477893" w:rsidP="003A4AD1">
      <w:pPr>
        <w:jc w:val="left"/>
      </w:pPr>
    </w:p>
    <w:p w14:paraId="49DA07D8" w14:textId="77777777" w:rsidR="00477893" w:rsidRDefault="00477893" w:rsidP="003B36F7">
      <w:pPr>
        <w:pStyle w:val="Heading1"/>
      </w:pPr>
      <w:bookmarkStart w:id="18" w:name="_Toc536620135"/>
      <w:r>
        <w:t>A</w:t>
      </w:r>
      <w:r w:rsidR="001D6C98">
        <w:t>nnex</w:t>
      </w:r>
      <w:r>
        <w:t xml:space="preserve"> V: XXX</w:t>
      </w:r>
      <w:bookmarkEnd w:id="18"/>
    </w:p>
    <w:p w14:paraId="4C6BB645" w14:textId="77777777" w:rsidR="001D6C98" w:rsidRPr="001D6C98" w:rsidRDefault="001D6C98" w:rsidP="001D6C98">
      <w:pPr>
        <w:jc w:val="center"/>
        <w:rPr>
          <w:i/>
        </w:rPr>
      </w:pPr>
      <w:r w:rsidRPr="001D6C98">
        <w:rPr>
          <w:i/>
        </w:rPr>
        <w:t>To be inserted</w:t>
      </w:r>
    </w:p>
    <w:p w14:paraId="5B3C55DF" w14:textId="77777777" w:rsidR="00477893" w:rsidRDefault="00477893" w:rsidP="003A4AD1">
      <w:pPr>
        <w:jc w:val="left"/>
      </w:pPr>
    </w:p>
    <w:p w14:paraId="34B73FED" w14:textId="77777777" w:rsidR="001D6C98" w:rsidRDefault="001D6C98" w:rsidP="001D6C98">
      <w:pPr>
        <w:pStyle w:val="Heading1"/>
      </w:pPr>
      <w:bookmarkStart w:id="19" w:name="_Toc536620136"/>
      <w:r>
        <w:t>Annex VI: XXX</w:t>
      </w:r>
      <w:bookmarkEnd w:id="19"/>
    </w:p>
    <w:p w14:paraId="751C40DC" w14:textId="77777777" w:rsidR="001D6C98" w:rsidRPr="001D6C98" w:rsidRDefault="001D6C98" w:rsidP="001D6C98">
      <w:pPr>
        <w:jc w:val="center"/>
        <w:rPr>
          <w:i/>
        </w:rPr>
      </w:pPr>
      <w:r w:rsidRPr="001D6C98">
        <w:rPr>
          <w:i/>
        </w:rPr>
        <w:t>To be inserted</w:t>
      </w:r>
    </w:p>
    <w:p w14:paraId="57F128FD" w14:textId="77777777" w:rsidR="001D6C98" w:rsidRPr="001D6C98" w:rsidRDefault="001D6C98" w:rsidP="001D6C98"/>
    <w:p w14:paraId="59BE4F7F" w14:textId="77777777" w:rsidR="001D6C98" w:rsidRDefault="001D6C98" w:rsidP="001D6C98">
      <w:pPr>
        <w:pStyle w:val="Heading1"/>
      </w:pPr>
      <w:bookmarkStart w:id="20" w:name="_Toc536620137"/>
      <w:r>
        <w:t>Annex VII: XXX</w:t>
      </w:r>
      <w:bookmarkEnd w:id="20"/>
    </w:p>
    <w:p w14:paraId="74FC8FF4" w14:textId="77777777" w:rsidR="001D6C98" w:rsidRPr="001D6C98" w:rsidRDefault="001D6C98" w:rsidP="001D6C98">
      <w:pPr>
        <w:jc w:val="center"/>
        <w:rPr>
          <w:i/>
        </w:rPr>
      </w:pPr>
      <w:r w:rsidRPr="001D6C98">
        <w:rPr>
          <w:i/>
        </w:rPr>
        <w:t>To be inserted</w:t>
      </w:r>
    </w:p>
    <w:p w14:paraId="182B7529" w14:textId="77777777" w:rsidR="00477893" w:rsidRDefault="00477893" w:rsidP="003A4AD1">
      <w:pPr>
        <w:jc w:val="left"/>
      </w:pPr>
    </w:p>
    <w:sectPr w:rsidR="00477893" w:rsidSect="00477893">
      <w:headerReference w:type="default" r:id="rId10"/>
      <w:footerReference w:type="even" r:id="rId11"/>
      <w:footerReference w:type="default" r:id="rId12"/>
      <w:head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BB503" w14:textId="77777777" w:rsidR="00AC7420" w:rsidRDefault="00AC7420" w:rsidP="00477893">
      <w:pPr>
        <w:spacing w:before="0" w:after="0"/>
      </w:pPr>
      <w:r>
        <w:separator/>
      </w:r>
    </w:p>
  </w:endnote>
  <w:endnote w:type="continuationSeparator" w:id="0">
    <w:p w14:paraId="12F40CAC" w14:textId="77777777" w:rsidR="00AC7420" w:rsidRDefault="00AC7420" w:rsidP="004778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4706005"/>
      <w:docPartObj>
        <w:docPartGallery w:val="Page Numbers (Bottom of Page)"/>
        <w:docPartUnique/>
      </w:docPartObj>
    </w:sdtPr>
    <w:sdtEndPr>
      <w:rPr>
        <w:rStyle w:val="PageNumber"/>
      </w:rPr>
    </w:sdtEndPr>
    <w:sdtContent>
      <w:p w14:paraId="606E065F" w14:textId="77777777" w:rsidR="00477893" w:rsidRDefault="00477893" w:rsidP="004778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75AD3" w14:textId="77777777" w:rsidR="00477893" w:rsidRDefault="00477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221134"/>
      <w:docPartObj>
        <w:docPartGallery w:val="Page Numbers (Bottom of Page)"/>
        <w:docPartUnique/>
      </w:docPartObj>
    </w:sdtPr>
    <w:sdtEndPr>
      <w:rPr>
        <w:rStyle w:val="PageNumber"/>
      </w:rPr>
    </w:sdtEndPr>
    <w:sdtContent>
      <w:p w14:paraId="1019C0E4" w14:textId="77777777" w:rsidR="00477893" w:rsidRDefault="00477893" w:rsidP="004778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099DEE" w14:textId="77777777" w:rsidR="00477893" w:rsidRDefault="00477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B6A4A" w14:textId="77777777" w:rsidR="00AC7420" w:rsidRDefault="00AC7420" w:rsidP="00477893">
      <w:pPr>
        <w:spacing w:before="0" w:after="0"/>
      </w:pPr>
      <w:r>
        <w:separator/>
      </w:r>
    </w:p>
  </w:footnote>
  <w:footnote w:type="continuationSeparator" w:id="0">
    <w:p w14:paraId="11005113" w14:textId="77777777" w:rsidR="00AC7420" w:rsidRDefault="00AC7420" w:rsidP="004778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6B90" w14:textId="641D5D9F" w:rsidR="002C697F" w:rsidRDefault="002C697F" w:rsidP="002C697F">
    <w:pPr>
      <w:pStyle w:val="Header"/>
      <w:jc w:val="right"/>
    </w:pPr>
    <w:r>
      <w:t>PAME (I)/19/10.2/b/PAME 2019-2021 Work Plan, longer version (29 Jan)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D8B3" w14:textId="58E32936" w:rsidR="002C697F" w:rsidRDefault="002C697F" w:rsidP="002C697F">
    <w:pPr>
      <w:pStyle w:val="Header"/>
      <w:jc w:val="right"/>
    </w:pPr>
    <w:r>
      <w:t>PAME (I)/19/10.2/b/PAME 2019-2021 Work Plan, longer version (29 Jan)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0A0"/>
    <w:multiLevelType w:val="multilevel"/>
    <w:tmpl w:val="3C92F8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25B1254B"/>
    <w:multiLevelType w:val="hybridMultilevel"/>
    <w:tmpl w:val="EA0091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D6170B"/>
    <w:multiLevelType w:val="hybridMultilevel"/>
    <w:tmpl w:val="665A1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6822D9"/>
    <w:multiLevelType w:val="hybridMultilevel"/>
    <w:tmpl w:val="4BFEDB0A"/>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80545E"/>
    <w:multiLevelType w:val="hybridMultilevel"/>
    <w:tmpl w:val="B566AB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BA20AE"/>
    <w:multiLevelType w:val="hybridMultilevel"/>
    <w:tmpl w:val="B0542A38"/>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EB47FF"/>
    <w:multiLevelType w:val="hybridMultilevel"/>
    <w:tmpl w:val="A65EF504"/>
    <w:lvl w:ilvl="0" w:tplc="9B56E08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62F07"/>
    <w:multiLevelType w:val="hybridMultilevel"/>
    <w:tmpl w:val="B39AC6AE"/>
    <w:lvl w:ilvl="0" w:tplc="9B56E08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75168"/>
    <w:multiLevelType w:val="multilevel"/>
    <w:tmpl w:val="4B126D78"/>
    <w:lvl w:ilvl="0">
      <w:start w:val="1"/>
      <w:numFmt w:val="bullet"/>
      <w:lvlText w:val=""/>
      <w:lvlJc w:val="left"/>
      <w:pPr>
        <w:tabs>
          <w:tab w:val="num" w:pos="1080"/>
        </w:tabs>
        <w:ind w:left="1080" w:hanging="360"/>
      </w:pPr>
      <w:rPr>
        <w:rFonts w:ascii="Symbol" w:hAnsi="Symbol" w:hint="default"/>
        <w:sz w:val="20"/>
      </w:rPr>
    </w:lvl>
    <w:lvl w:ilvl="1">
      <w:start w:val="7"/>
      <w:numFmt w:val="bullet"/>
      <w:lvlText w:val="•"/>
      <w:lvlJc w:val="left"/>
      <w:pPr>
        <w:ind w:left="1800" w:hanging="360"/>
      </w:pPr>
      <w:rPr>
        <w:rFonts w:ascii="Calibri" w:eastAsiaTheme="minorHAnsi" w:hAnsi="Calibri" w:cstheme="minorHAns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7B124084"/>
    <w:multiLevelType w:val="hybridMultilevel"/>
    <w:tmpl w:val="983E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2"/>
  </w:num>
  <w:num w:numId="6">
    <w:abstractNumId w:val="3"/>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EC"/>
    <w:rsid w:val="000017D4"/>
    <w:rsid w:val="0003756F"/>
    <w:rsid w:val="000A0C2D"/>
    <w:rsid w:val="000A1E8A"/>
    <w:rsid w:val="000A6998"/>
    <w:rsid w:val="000C3D94"/>
    <w:rsid w:val="000C569D"/>
    <w:rsid w:val="000E3C3F"/>
    <w:rsid w:val="00111769"/>
    <w:rsid w:val="001129A0"/>
    <w:rsid w:val="001318AC"/>
    <w:rsid w:val="001356A2"/>
    <w:rsid w:val="00145ACC"/>
    <w:rsid w:val="001714BF"/>
    <w:rsid w:val="001A43EE"/>
    <w:rsid w:val="001B52A1"/>
    <w:rsid w:val="001D5426"/>
    <w:rsid w:val="001D6C98"/>
    <w:rsid w:val="001D7079"/>
    <w:rsid w:val="00210C82"/>
    <w:rsid w:val="00217911"/>
    <w:rsid w:val="00223D82"/>
    <w:rsid w:val="00296555"/>
    <w:rsid w:val="002B46DA"/>
    <w:rsid w:val="002B64BF"/>
    <w:rsid w:val="002B6909"/>
    <w:rsid w:val="002C1C70"/>
    <w:rsid w:val="002C3E26"/>
    <w:rsid w:val="002C697F"/>
    <w:rsid w:val="002F071B"/>
    <w:rsid w:val="00320164"/>
    <w:rsid w:val="00331EEC"/>
    <w:rsid w:val="00344553"/>
    <w:rsid w:val="00345B88"/>
    <w:rsid w:val="003656A2"/>
    <w:rsid w:val="003702A9"/>
    <w:rsid w:val="003746EF"/>
    <w:rsid w:val="00395439"/>
    <w:rsid w:val="003A3A1B"/>
    <w:rsid w:val="003A4AD1"/>
    <w:rsid w:val="003B36F7"/>
    <w:rsid w:val="003D48DD"/>
    <w:rsid w:val="003E1EDC"/>
    <w:rsid w:val="0044705E"/>
    <w:rsid w:val="00466C1F"/>
    <w:rsid w:val="00477893"/>
    <w:rsid w:val="004A3F6C"/>
    <w:rsid w:val="004F006B"/>
    <w:rsid w:val="00510D06"/>
    <w:rsid w:val="00535ED8"/>
    <w:rsid w:val="00537D5E"/>
    <w:rsid w:val="005A4960"/>
    <w:rsid w:val="005B08A5"/>
    <w:rsid w:val="005C716C"/>
    <w:rsid w:val="005F3BAC"/>
    <w:rsid w:val="00615137"/>
    <w:rsid w:val="0062363A"/>
    <w:rsid w:val="00671295"/>
    <w:rsid w:val="0069696B"/>
    <w:rsid w:val="006C60F7"/>
    <w:rsid w:val="00700DE1"/>
    <w:rsid w:val="00703CDE"/>
    <w:rsid w:val="00711C57"/>
    <w:rsid w:val="00721CE8"/>
    <w:rsid w:val="007260FE"/>
    <w:rsid w:val="00736F05"/>
    <w:rsid w:val="0078107B"/>
    <w:rsid w:val="007855F4"/>
    <w:rsid w:val="007B71EB"/>
    <w:rsid w:val="007D1726"/>
    <w:rsid w:val="00817CB9"/>
    <w:rsid w:val="00835E32"/>
    <w:rsid w:val="008517CB"/>
    <w:rsid w:val="008755BE"/>
    <w:rsid w:val="00890130"/>
    <w:rsid w:val="00896276"/>
    <w:rsid w:val="008C07D9"/>
    <w:rsid w:val="008E31D7"/>
    <w:rsid w:val="008E740F"/>
    <w:rsid w:val="0091325C"/>
    <w:rsid w:val="00933977"/>
    <w:rsid w:val="00942545"/>
    <w:rsid w:val="009433CD"/>
    <w:rsid w:val="00947B03"/>
    <w:rsid w:val="0098766F"/>
    <w:rsid w:val="009A5331"/>
    <w:rsid w:val="009B509D"/>
    <w:rsid w:val="009D3AF4"/>
    <w:rsid w:val="009D3F22"/>
    <w:rsid w:val="009D47C7"/>
    <w:rsid w:val="009E1BB3"/>
    <w:rsid w:val="009E5DBF"/>
    <w:rsid w:val="00A52772"/>
    <w:rsid w:val="00A53E12"/>
    <w:rsid w:val="00A71FB8"/>
    <w:rsid w:val="00A96AA9"/>
    <w:rsid w:val="00AC7420"/>
    <w:rsid w:val="00AD6782"/>
    <w:rsid w:val="00AE03C7"/>
    <w:rsid w:val="00AE29D2"/>
    <w:rsid w:val="00AE35C4"/>
    <w:rsid w:val="00AE5F6E"/>
    <w:rsid w:val="00AF20D0"/>
    <w:rsid w:val="00B076CD"/>
    <w:rsid w:val="00B07B82"/>
    <w:rsid w:val="00B16BB9"/>
    <w:rsid w:val="00B36780"/>
    <w:rsid w:val="00B4580D"/>
    <w:rsid w:val="00B5087F"/>
    <w:rsid w:val="00B63977"/>
    <w:rsid w:val="00B64EE5"/>
    <w:rsid w:val="00BB297E"/>
    <w:rsid w:val="00BD115F"/>
    <w:rsid w:val="00BD6677"/>
    <w:rsid w:val="00C006DF"/>
    <w:rsid w:val="00C46FF1"/>
    <w:rsid w:val="00C516A2"/>
    <w:rsid w:val="00C5458E"/>
    <w:rsid w:val="00C70BB1"/>
    <w:rsid w:val="00CB0E6D"/>
    <w:rsid w:val="00CB576D"/>
    <w:rsid w:val="00CC298A"/>
    <w:rsid w:val="00CF4562"/>
    <w:rsid w:val="00D44240"/>
    <w:rsid w:val="00D4533C"/>
    <w:rsid w:val="00D57EA1"/>
    <w:rsid w:val="00D6131E"/>
    <w:rsid w:val="00D67FA3"/>
    <w:rsid w:val="00D73CC7"/>
    <w:rsid w:val="00D77E47"/>
    <w:rsid w:val="00D81F3B"/>
    <w:rsid w:val="00D85263"/>
    <w:rsid w:val="00DA049B"/>
    <w:rsid w:val="00DF2AAA"/>
    <w:rsid w:val="00DF5AD4"/>
    <w:rsid w:val="00E150B5"/>
    <w:rsid w:val="00E30CCA"/>
    <w:rsid w:val="00E33212"/>
    <w:rsid w:val="00E863BE"/>
    <w:rsid w:val="00EC27BB"/>
    <w:rsid w:val="00EF17F1"/>
    <w:rsid w:val="00EF7019"/>
    <w:rsid w:val="00F247CF"/>
    <w:rsid w:val="00FA55DA"/>
    <w:rsid w:val="00FD5295"/>
    <w:rsid w:val="00FF3CEC"/>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455C"/>
  <w14:defaultImageDpi w14:val="32767"/>
  <w15:chartTrackingRefBased/>
  <w15:docId w15:val="{B8B2CF8E-B1B7-7349-993A-AE8DEF99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EEC"/>
    <w:pPr>
      <w:spacing w:before="120" w:after="120"/>
      <w:jc w:val="both"/>
    </w:pPr>
    <w:rPr>
      <w:szCs w:val="22"/>
    </w:rPr>
  </w:style>
  <w:style w:type="paragraph" w:styleId="Heading1">
    <w:name w:val="heading 1"/>
    <w:aliases w:val="1. Heading"/>
    <w:basedOn w:val="Normal"/>
    <w:next w:val="Normal"/>
    <w:link w:val="Heading1Char"/>
    <w:uiPriority w:val="9"/>
    <w:qFormat/>
    <w:rsid w:val="00331EEC"/>
    <w:pPr>
      <w:keepNext/>
      <w:keepLines/>
      <w:jc w:val="center"/>
      <w:outlineLvl w:val="0"/>
    </w:pPr>
    <w:rPr>
      <w:rFonts w:eastAsiaTheme="majorEastAsia" w:cstheme="majorBidi"/>
      <w:b/>
      <w:color w:val="44546A" w:themeColor="text2"/>
      <w:sz w:val="32"/>
      <w:szCs w:val="32"/>
    </w:rPr>
  </w:style>
  <w:style w:type="paragraph" w:styleId="Heading2">
    <w:name w:val="heading 2"/>
    <w:basedOn w:val="Normal"/>
    <w:next w:val="Normal"/>
    <w:link w:val="Heading2Char"/>
    <w:uiPriority w:val="9"/>
    <w:unhideWhenUsed/>
    <w:qFormat/>
    <w:rsid w:val="003E1E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1ED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
    <w:basedOn w:val="DefaultParagraphFont"/>
    <w:link w:val="Heading1"/>
    <w:uiPriority w:val="9"/>
    <w:rsid w:val="00331EEC"/>
    <w:rPr>
      <w:rFonts w:eastAsiaTheme="majorEastAsia" w:cstheme="majorBidi"/>
      <w:b/>
      <w:color w:val="44546A" w:themeColor="text2"/>
      <w:sz w:val="32"/>
      <w:szCs w:val="32"/>
    </w:rPr>
  </w:style>
  <w:style w:type="paragraph" w:styleId="ListParagraph">
    <w:name w:val="List Paragraph"/>
    <w:aliases w:val="bullet,bulllet"/>
    <w:basedOn w:val="Normal"/>
    <w:link w:val="ListParagraphChar"/>
    <w:uiPriority w:val="34"/>
    <w:qFormat/>
    <w:rsid w:val="00331EEC"/>
    <w:pPr>
      <w:ind w:left="720"/>
      <w:contextualSpacing/>
    </w:pPr>
  </w:style>
  <w:style w:type="character" w:customStyle="1" w:styleId="ListParagraphChar">
    <w:name w:val="List Paragraph Char"/>
    <w:aliases w:val="bullet Char,bulllet Char"/>
    <w:link w:val="ListParagraph"/>
    <w:uiPriority w:val="34"/>
    <w:qFormat/>
    <w:locked/>
    <w:rsid w:val="00331EEC"/>
    <w:rPr>
      <w:szCs w:val="22"/>
    </w:rPr>
  </w:style>
  <w:style w:type="table" w:styleId="TableGrid">
    <w:name w:val="Table Grid"/>
    <w:basedOn w:val="TableNormal"/>
    <w:uiPriority w:val="39"/>
    <w:rsid w:val="00B4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1E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1EDC"/>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477893"/>
    <w:pPr>
      <w:tabs>
        <w:tab w:val="center" w:pos="4703"/>
        <w:tab w:val="right" w:pos="9406"/>
      </w:tabs>
      <w:spacing w:before="0" w:after="0"/>
    </w:pPr>
  </w:style>
  <w:style w:type="character" w:customStyle="1" w:styleId="FooterChar">
    <w:name w:val="Footer Char"/>
    <w:basedOn w:val="DefaultParagraphFont"/>
    <w:link w:val="Footer"/>
    <w:uiPriority w:val="99"/>
    <w:rsid w:val="00477893"/>
    <w:rPr>
      <w:szCs w:val="22"/>
    </w:rPr>
  </w:style>
  <w:style w:type="character" w:styleId="PageNumber">
    <w:name w:val="page number"/>
    <w:basedOn w:val="DefaultParagraphFont"/>
    <w:uiPriority w:val="99"/>
    <w:semiHidden/>
    <w:unhideWhenUsed/>
    <w:rsid w:val="00477893"/>
  </w:style>
  <w:style w:type="paragraph" w:styleId="BalloonText">
    <w:name w:val="Balloon Text"/>
    <w:basedOn w:val="Normal"/>
    <w:link w:val="BalloonTextChar"/>
    <w:uiPriority w:val="99"/>
    <w:semiHidden/>
    <w:unhideWhenUsed/>
    <w:rsid w:val="00477893"/>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893"/>
    <w:rPr>
      <w:rFonts w:ascii="Times New Roman" w:hAnsi="Times New Roman" w:cs="Times New Roman"/>
      <w:sz w:val="18"/>
      <w:szCs w:val="18"/>
    </w:rPr>
  </w:style>
  <w:style w:type="character" w:styleId="Hyperlink">
    <w:name w:val="Hyperlink"/>
    <w:basedOn w:val="DefaultParagraphFont"/>
    <w:uiPriority w:val="99"/>
    <w:unhideWhenUsed/>
    <w:rsid w:val="009B509D"/>
    <w:rPr>
      <w:color w:val="0563C1" w:themeColor="hyperlink"/>
      <w:u w:val="single"/>
    </w:rPr>
  </w:style>
  <w:style w:type="character" w:styleId="UnresolvedMention">
    <w:name w:val="Unresolved Mention"/>
    <w:basedOn w:val="DefaultParagraphFont"/>
    <w:uiPriority w:val="99"/>
    <w:rsid w:val="009B509D"/>
    <w:rPr>
      <w:color w:val="605E5C"/>
      <w:shd w:val="clear" w:color="auto" w:fill="E1DFDD"/>
    </w:rPr>
  </w:style>
  <w:style w:type="paragraph" w:styleId="TOC1">
    <w:name w:val="toc 1"/>
    <w:basedOn w:val="Normal"/>
    <w:next w:val="Normal"/>
    <w:autoRedefine/>
    <w:uiPriority w:val="39"/>
    <w:unhideWhenUsed/>
    <w:rsid w:val="00C46FF1"/>
    <w:pPr>
      <w:spacing w:after="100"/>
    </w:pPr>
  </w:style>
  <w:style w:type="paragraph" w:styleId="PlainText">
    <w:name w:val="Plain Text"/>
    <w:basedOn w:val="Normal"/>
    <w:link w:val="PlainTextChar"/>
    <w:uiPriority w:val="99"/>
    <w:unhideWhenUsed/>
    <w:rsid w:val="00933977"/>
    <w:pPr>
      <w:spacing w:before="0"/>
    </w:pPr>
    <w:rPr>
      <w:rFonts w:ascii="Calibri" w:eastAsia="Calibri" w:hAnsi="Calibri" w:cs="Times New Roman"/>
      <w:szCs w:val="21"/>
      <w:lang w:val="is-IS"/>
    </w:rPr>
  </w:style>
  <w:style w:type="character" w:customStyle="1" w:styleId="PlainTextChar">
    <w:name w:val="Plain Text Char"/>
    <w:basedOn w:val="DefaultParagraphFont"/>
    <w:link w:val="PlainText"/>
    <w:uiPriority w:val="99"/>
    <w:rsid w:val="00933977"/>
    <w:rPr>
      <w:rFonts w:ascii="Calibri" w:eastAsia="Calibri" w:hAnsi="Calibri" w:cs="Times New Roman"/>
      <w:szCs w:val="21"/>
      <w:lang w:val="is-IS"/>
    </w:rPr>
  </w:style>
  <w:style w:type="character" w:styleId="CommentReference">
    <w:name w:val="annotation reference"/>
    <w:basedOn w:val="DefaultParagraphFont"/>
    <w:uiPriority w:val="99"/>
    <w:semiHidden/>
    <w:unhideWhenUsed/>
    <w:rsid w:val="001D6C98"/>
    <w:rPr>
      <w:sz w:val="16"/>
      <w:szCs w:val="16"/>
    </w:rPr>
  </w:style>
  <w:style w:type="paragraph" w:styleId="CommentText">
    <w:name w:val="annotation text"/>
    <w:basedOn w:val="Normal"/>
    <w:link w:val="CommentTextChar"/>
    <w:uiPriority w:val="99"/>
    <w:semiHidden/>
    <w:unhideWhenUsed/>
    <w:rsid w:val="001D6C98"/>
    <w:rPr>
      <w:sz w:val="20"/>
      <w:szCs w:val="20"/>
    </w:rPr>
  </w:style>
  <w:style w:type="character" w:customStyle="1" w:styleId="CommentTextChar">
    <w:name w:val="Comment Text Char"/>
    <w:basedOn w:val="DefaultParagraphFont"/>
    <w:link w:val="CommentText"/>
    <w:uiPriority w:val="99"/>
    <w:semiHidden/>
    <w:rsid w:val="001D6C98"/>
    <w:rPr>
      <w:sz w:val="20"/>
      <w:szCs w:val="20"/>
    </w:rPr>
  </w:style>
  <w:style w:type="paragraph" w:styleId="CommentSubject">
    <w:name w:val="annotation subject"/>
    <w:basedOn w:val="CommentText"/>
    <w:next w:val="CommentText"/>
    <w:link w:val="CommentSubjectChar"/>
    <w:uiPriority w:val="99"/>
    <w:semiHidden/>
    <w:unhideWhenUsed/>
    <w:rsid w:val="001D6C98"/>
    <w:rPr>
      <w:b/>
      <w:bCs/>
    </w:rPr>
  </w:style>
  <w:style w:type="character" w:customStyle="1" w:styleId="CommentSubjectChar">
    <w:name w:val="Comment Subject Char"/>
    <w:basedOn w:val="CommentTextChar"/>
    <w:link w:val="CommentSubject"/>
    <w:uiPriority w:val="99"/>
    <w:semiHidden/>
    <w:rsid w:val="001D6C98"/>
    <w:rPr>
      <w:b/>
      <w:bCs/>
      <w:sz w:val="20"/>
      <w:szCs w:val="20"/>
    </w:rPr>
  </w:style>
  <w:style w:type="paragraph" w:styleId="Revision">
    <w:name w:val="Revision"/>
    <w:hidden/>
    <w:uiPriority w:val="99"/>
    <w:semiHidden/>
    <w:rsid w:val="001129A0"/>
    <w:rPr>
      <w:szCs w:val="22"/>
    </w:rPr>
  </w:style>
  <w:style w:type="paragraph" w:styleId="Header">
    <w:name w:val="header"/>
    <w:basedOn w:val="Normal"/>
    <w:link w:val="HeaderChar"/>
    <w:uiPriority w:val="99"/>
    <w:unhideWhenUsed/>
    <w:rsid w:val="002C697F"/>
    <w:pPr>
      <w:tabs>
        <w:tab w:val="center" w:pos="4680"/>
        <w:tab w:val="right" w:pos="9360"/>
      </w:tabs>
      <w:spacing w:before="0" w:after="0"/>
    </w:pPr>
  </w:style>
  <w:style w:type="character" w:customStyle="1" w:styleId="HeaderChar">
    <w:name w:val="Header Char"/>
    <w:basedOn w:val="DefaultParagraphFont"/>
    <w:link w:val="Header"/>
    <w:uiPriority w:val="99"/>
    <w:rsid w:val="002C697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872010">
      <w:bodyDiv w:val="1"/>
      <w:marLeft w:val="0"/>
      <w:marRight w:val="0"/>
      <w:marTop w:val="0"/>
      <w:marBottom w:val="0"/>
      <w:divBdr>
        <w:top w:val="none" w:sz="0" w:space="0" w:color="auto"/>
        <w:left w:val="none" w:sz="0" w:space="0" w:color="auto"/>
        <w:bottom w:val="none" w:sz="0" w:space="0" w:color="auto"/>
        <w:right w:val="none" w:sz="0" w:space="0" w:color="auto"/>
      </w:divBdr>
      <w:divsChild>
        <w:div w:id="310213231">
          <w:marLeft w:val="0"/>
          <w:marRight w:val="0"/>
          <w:marTop w:val="0"/>
          <w:marBottom w:val="0"/>
          <w:divBdr>
            <w:top w:val="none" w:sz="0" w:space="0" w:color="auto"/>
            <w:left w:val="none" w:sz="0" w:space="0" w:color="auto"/>
            <w:bottom w:val="none" w:sz="0" w:space="0" w:color="auto"/>
            <w:right w:val="none" w:sz="0" w:space="0" w:color="auto"/>
          </w:divBdr>
          <w:divsChild>
            <w:div w:id="919946632">
              <w:marLeft w:val="0"/>
              <w:marRight w:val="0"/>
              <w:marTop w:val="0"/>
              <w:marBottom w:val="0"/>
              <w:divBdr>
                <w:top w:val="none" w:sz="0" w:space="0" w:color="auto"/>
                <w:left w:val="none" w:sz="0" w:space="0" w:color="auto"/>
                <w:bottom w:val="none" w:sz="0" w:space="0" w:color="auto"/>
                <w:right w:val="none" w:sz="0" w:space="0" w:color="auto"/>
              </w:divBdr>
              <w:divsChild>
                <w:div w:id="11744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me.is/images/03_Projects/Arctic_Marine_Shipping/Arctic_Marine_Tourism_Project/AMTP_Best_Practice_Guidelin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me.is/arcticshippingfor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0C79-BD4E-7C4D-9A0E-84BBC358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3508</Words>
  <Characters>21260</Characters>
  <Application>Microsoft Office Word</Application>
  <DocSecurity>0</DocSecurity>
  <Lines>354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 Hreinsson</dc:creator>
  <cp:keywords/>
  <dc:description/>
  <cp:lastModifiedBy>Soffía Guðmundsdóttir</cp:lastModifiedBy>
  <cp:revision>3</cp:revision>
  <cp:lastPrinted>2019-01-09T13:43:00Z</cp:lastPrinted>
  <dcterms:created xsi:type="dcterms:W3CDTF">2019-01-30T14:06:00Z</dcterms:created>
  <dcterms:modified xsi:type="dcterms:W3CDTF">2019-01-30T14:09:00Z</dcterms:modified>
</cp:coreProperties>
</file>